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FC" w:rsidRPr="00D440BD" w:rsidRDefault="003D0DFC" w:rsidP="003D0DFC">
      <w:pPr>
        <w:pStyle w:val="BodyText"/>
        <w:spacing w:line="286" w:lineRule="exact"/>
        <w:ind w:left="20"/>
        <w:rPr>
          <w:rFonts w:ascii="Times New Roman" w:hAnsi="Times New Roman" w:cs="Times New Roman"/>
          <w:lang w:eastAsia="zh-TW"/>
        </w:rPr>
      </w:pPr>
      <w:r w:rsidRPr="00D440BD">
        <w:rPr>
          <w:rFonts w:ascii="Times New Roman" w:hAnsi="Times New Roman" w:cs="Times New Roman"/>
          <w:color w:val="212121"/>
          <w:lang w:eastAsia="zh-TW"/>
        </w:rPr>
        <w:t xml:space="preserve">Theme 1: Related Statistics of NCS </w:t>
      </w:r>
      <w:r>
        <w:rPr>
          <w:rFonts w:ascii="Times New Roman" w:hAnsi="Times New Roman" w:cs="Times New Roman"/>
          <w:color w:val="212121"/>
          <w:lang w:eastAsia="zh-TW"/>
        </w:rPr>
        <w:t>C</w:t>
      </w:r>
      <w:r w:rsidRPr="00D440BD">
        <w:rPr>
          <w:rFonts w:ascii="Times New Roman" w:hAnsi="Times New Roman" w:cs="Times New Roman"/>
          <w:color w:val="212121"/>
          <w:lang w:eastAsia="zh-TW"/>
        </w:rPr>
        <w:t>ommunity</w:t>
      </w:r>
      <w:r>
        <w:rPr>
          <w:rFonts w:ascii="Times New Roman" w:hAnsi="Times New Roman" w:cs="Times New Roman"/>
          <w:color w:val="212121"/>
          <w:lang w:eastAsia="zh-TW"/>
        </w:rPr>
        <w:t xml:space="preserve">                                   Annex 1</w:t>
      </w:r>
    </w:p>
    <w:p w:rsidR="003D0DFC" w:rsidRDefault="003D0DFC" w:rsidP="003D0DFC">
      <w:pPr>
        <w:autoSpaceDE w:val="0"/>
        <w:autoSpaceDN w:val="0"/>
        <w:jc w:val="both"/>
        <w:rPr>
          <w:rFonts w:ascii="Times New Roman" w:eastAsia="新細明體" w:hAnsi="Times New Roman" w:cs="Times New Roman"/>
          <w:bCs/>
          <w:kern w:val="0"/>
          <w:szCs w:val="24"/>
          <w:lang w:val="en-US" w:eastAsia="en-US"/>
        </w:rPr>
      </w:pPr>
    </w:p>
    <w:p w:rsidR="003D0DFC" w:rsidRPr="00C40EB0" w:rsidRDefault="003D0DFC" w:rsidP="003D0DFC">
      <w:pPr>
        <w:autoSpaceDE w:val="0"/>
        <w:autoSpaceDN w:val="0"/>
        <w:jc w:val="both"/>
        <w:rPr>
          <w:rFonts w:ascii="Times New Roman" w:eastAsia="新細明體" w:hAnsi="Times New Roman" w:cs="Times New Roman"/>
          <w:bCs/>
          <w:kern w:val="0"/>
          <w:szCs w:val="24"/>
          <w:lang w:val="en-US" w:eastAsia="en-US"/>
        </w:rPr>
      </w:pPr>
    </w:p>
    <w:p w:rsidR="003D0DFC" w:rsidRPr="00C40EB0" w:rsidRDefault="003D0DFC" w:rsidP="003D0DFC">
      <w:pPr>
        <w:autoSpaceDE w:val="0"/>
        <w:autoSpaceDN w:val="0"/>
        <w:spacing w:before="26"/>
        <w:ind w:left="3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  <w:t>Information 1: Census and Statistics Department</w:t>
      </w:r>
    </w:p>
    <w:p w:rsidR="003D0DFC" w:rsidRPr="00C40EB0" w:rsidRDefault="003D0DFC" w:rsidP="003D0DFC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p w:rsidR="003D0DFC" w:rsidRPr="00C40EB0" w:rsidRDefault="003D0DFC" w:rsidP="003D0DFC">
      <w:pPr>
        <w:autoSpaceDE w:val="0"/>
        <w:autoSpaceDN w:val="0"/>
        <w:spacing w:before="9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tbl>
      <w:tblPr>
        <w:tblStyle w:val="TableNormal2"/>
        <w:tblW w:w="10102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8780"/>
      </w:tblGrid>
      <w:tr w:rsidR="003D0DFC" w:rsidRPr="00C40EB0" w:rsidTr="003D0DFC">
        <w:trPr>
          <w:trHeight w:hRule="exact" w:val="1124"/>
        </w:trPr>
        <w:tc>
          <w:tcPr>
            <w:tcW w:w="1322" w:type="dxa"/>
          </w:tcPr>
          <w:p w:rsidR="003D0DFC" w:rsidRPr="00C40EB0" w:rsidRDefault="003D0DFC" w:rsidP="00144990">
            <w:pPr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Duration:</w:t>
            </w:r>
          </w:p>
        </w:tc>
        <w:tc>
          <w:tcPr>
            <w:tcW w:w="8780" w:type="dxa"/>
          </w:tcPr>
          <w:p w:rsidR="003D0DFC" w:rsidRPr="00C40EB0" w:rsidRDefault="003D0DFC" w:rsidP="00144990">
            <w:pPr>
              <w:spacing w:line="266" w:lineRule="exact"/>
              <w:ind w:left="109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 xml:space="preserve">15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minutes</w:t>
            </w:r>
          </w:p>
        </w:tc>
      </w:tr>
      <w:tr w:rsidR="003D0DFC" w:rsidRPr="00C40EB0" w:rsidTr="003D0DFC">
        <w:trPr>
          <w:trHeight w:hRule="exact" w:val="1297"/>
        </w:trPr>
        <w:tc>
          <w:tcPr>
            <w:tcW w:w="1322" w:type="dxa"/>
          </w:tcPr>
          <w:p w:rsidR="003D0DFC" w:rsidRPr="00C40EB0" w:rsidRDefault="003D0DFC" w:rsidP="00144990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3D0DFC" w:rsidRPr="00C40EB0" w:rsidRDefault="003D0DFC" w:rsidP="00144990">
            <w:pPr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Objective:</w:t>
            </w:r>
          </w:p>
        </w:tc>
        <w:tc>
          <w:tcPr>
            <w:tcW w:w="8780" w:type="dxa"/>
          </w:tcPr>
          <w:p w:rsidR="003D0DFC" w:rsidRPr="00C40EB0" w:rsidRDefault="003D0DFC" w:rsidP="00144990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3D0DFC" w:rsidRPr="00C40EB0" w:rsidRDefault="003D0DFC" w:rsidP="00144990">
            <w:pPr>
              <w:ind w:left="109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To provide the teachers an overview of the characteristics of NCS community with accurate and comprehensive statistics of 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N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on-Chinese speakers in Hong Kong</w:t>
            </w:r>
          </w:p>
        </w:tc>
        <w:bookmarkStart w:id="0" w:name="_GoBack"/>
        <w:bookmarkEnd w:id="0"/>
      </w:tr>
      <w:tr w:rsidR="003D0DFC" w:rsidRPr="00C40EB0" w:rsidTr="003D0DFC">
        <w:trPr>
          <w:trHeight w:hRule="exact" w:val="1415"/>
        </w:trPr>
        <w:tc>
          <w:tcPr>
            <w:tcW w:w="1322" w:type="dxa"/>
          </w:tcPr>
          <w:p w:rsidR="003D0DFC" w:rsidRPr="00C40EB0" w:rsidRDefault="003D0DFC" w:rsidP="00144990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3D0DFC" w:rsidRPr="00C40EB0" w:rsidRDefault="003D0DFC" w:rsidP="00144990">
            <w:pPr>
              <w:spacing w:line="412" w:lineRule="auto"/>
              <w:ind w:left="200" w:right="68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How to search:</w:t>
            </w:r>
          </w:p>
        </w:tc>
        <w:tc>
          <w:tcPr>
            <w:tcW w:w="8780" w:type="dxa"/>
          </w:tcPr>
          <w:p w:rsidR="003D0DFC" w:rsidRPr="00C40EB0" w:rsidRDefault="003D0DFC" w:rsidP="00144990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3D0DFC" w:rsidRPr="00C40EB0" w:rsidRDefault="003D0DFC" w:rsidP="00144990">
            <w:pPr>
              <w:ind w:left="109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Latest issues are accessible at the website of Census and Statistics Department</w:t>
            </w:r>
          </w:p>
        </w:tc>
      </w:tr>
      <w:tr w:rsidR="003D0DFC" w:rsidRPr="00C40EB0" w:rsidTr="003D0DFC">
        <w:trPr>
          <w:trHeight w:hRule="exact" w:val="5302"/>
        </w:trPr>
        <w:tc>
          <w:tcPr>
            <w:tcW w:w="1322" w:type="dxa"/>
          </w:tcPr>
          <w:p w:rsidR="003D0DFC" w:rsidRPr="00C40EB0" w:rsidRDefault="003D0DFC" w:rsidP="00144990">
            <w:pPr>
              <w:spacing w:before="1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3D0DFC" w:rsidRPr="00C40EB0" w:rsidRDefault="003D0DFC" w:rsidP="00144990">
            <w:pPr>
              <w:spacing w:before="1"/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Example:</w:t>
            </w:r>
          </w:p>
        </w:tc>
        <w:tc>
          <w:tcPr>
            <w:tcW w:w="8780" w:type="dxa"/>
          </w:tcPr>
          <w:p w:rsidR="003D0DFC" w:rsidRPr="00C40EB0" w:rsidRDefault="003D0DFC" w:rsidP="00144990">
            <w:pPr>
              <w:spacing w:before="1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3D0DFC" w:rsidRPr="00C40EB0" w:rsidRDefault="003D0DFC" w:rsidP="00144990">
            <w:pPr>
              <w:spacing w:before="1" w:line="408" w:lineRule="auto"/>
              <w:ind w:left="109" w:right="30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Hong Kong 2016 Population By-census – Thematic Report: Ethnic Minorities analyses different characteristics of ethnic minorities in Hong Kong, including: </w:t>
            </w:r>
          </w:p>
          <w:p w:rsidR="003D0DFC" w:rsidRPr="00C40EB0" w:rsidRDefault="003D0DFC" w:rsidP="003D0DFC">
            <w:pPr>
              <w:numPr>
                <w:ilvl w:val="0"/>
                <w:numId w:val="1"/>
              </w:numPr>
              <w:tabs>
                <w:tab w:val="left" w:pos="470"/>
              </w:tabs>
              <w:spacing w:before="58" w:line="408" w:lineRule="auto"/>
              <w:ind w:right="255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Demographic Characteristics: age-sex structure, duration of residence in Hong Kong, spoken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language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and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readability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/wri</w:t>
            </w:r>
            <w:r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ting ability of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languages</w:t>
            </w:r>
          </w:p>
          <w:p w:rsidR="003D0DFC" w:rsidRPr="00C40EB0" w:rsidRDefault="003D0DFC" w:rsidP="003D0DFC">
            <w:pPr>
              <w:numPr>
                <w:ilvl w:val="0"/>
                <w:numId w:val="1"/>
              </w:numPr>
              <w:tabs>
                <w:tab w:val="left" w:pos="470"/>
              </w:tabs>
              <w:spacing w:before="58" w:line="360" w:lineRule="auto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Educational Characteristics: school attendance, educational attainment, post-secondary education, field of education</w:t>
            </w:r>
          </w:p>
          <w:p w:rsidR="003D0DFC" w:rsidRPr="00C40EB0" w:rsidRDefault="003D0DFC" w:rsidP="003D0DFC">
            <w:pPr>
              <w:numPr>
                <w:ilvl w:val="0"/>
                <w:numId w:val="1"/>
              </w:numPr>
              <w:tabs>
                <w:tab w:val="left" w:pos="470"/>
              </w:tabs>
              <w:spacing w:before="222" w:line="408" w:lineRule="auto"/>
              <w:ind w:right="258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Economic Characteristics: </w:t>
            </w:r>
            <w:proofErr w:type="spellStart"/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labour</w:t>
            </w:r>
            <w:proofErr w:type="spellEnd"/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force participation rates, working population (economic activity status, occupation, industry, monthly income from main employment, usual hours of work) </w:t>
            </w:r>
          </w:p>
          <w:p w:rsidR="003D0DFC" w:rsidRPr="00C40EB0" w:rsidRDefault="003D0DFC" w:rsidP="003D0DFC">
            <w:pPr>
              <w:numPr>
                <w:ilvl w:val="0"/>
                <w:numId w:val="1"/>
              </w:numPr>
              <w:tabs>
                <w:tab w:val="left" w:pos="470"/>
              </w:tabs>
              <w:spacing w:before="57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Geographical Characteristics: internal migration</w:t>
            </w:r>
          </w:p>
        </w:tc>
      </w:tr>
      <w:tr w:rsidR="003D0DFC" w:rsidRPr="00C40EB0" w:rsidTr="003D0DFC">
        <w:trPr>
          <w:trHeight w:hRule="exact" w:val="1085"/>
        </w:trPr>
        <w:tc>
          <w:tcPr>
            <w:tcW w:w="1322" w:type="dxa"/>
          </w:tcPr>
          <w:p w:rsidR="003D0DFC" w:rsidRPr="00C40EB0" w:rsidRDefault="003D0DFC" w:rsidP="00144990">
            <w:pPr>
              <w:spacing w:before="1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3D0DFC" w:rsidRPr="00C40EB0" w:rsidRDefault="003D0DFC" w:rsidP="00144990">
            <w:pPr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Website:</w:t>
            </w:r>
          </w:p>
        </w:tc>
        <w:tc>
          <w:tcPr>
            <w:tcW w:w="8780" w:type="dxa"/>
          </w:tcPr>
          <w:p w:rsidR="003D0DFC" w:rsidRPr="00C40EB0" w:rsidRDefault="003D0DFC" w:rsidP="00144990">
            <w:pPr>
              <w:spacing w:before="3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3D0DFC" w:rsidRPr="00C40EB0" w:rsidRDefault="003D0DFC" w:rsidP="00144990">
            <w:pPr>
              <w:ind w:left="109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r w:rsidRPr="007E24E5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en-US"/>
              </w:rPr>
              <w:t>https://www.censtatd.gov.hk/hkstat/sub/sp459.jsp?productCode=B1120100</w:t>
            </w:r>
          </w:p>
        </w:tc>
      </w:tr>
    </w:tbl>
    <w:p w:rsidR="00B673A7" w:rsidRDefault="00B673A7" w:rsidP="00B673A7">
      <w:pPr>
        <w:autoSpaceDE w:val="0"/>
        <w:autoSpaceDN w:val="0"/>
        <w:spacing w:before="26"/>
        <w:ind w:left="312"/>
        <w:jc w:val="both"/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</w:pPr>
    </w:p>
    <w:p w:rsidR="00B673A7" w:rsidRDefault="00B673A7">
      <w:pPr>
        <w:widowControl/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</w:pPr>
      <w:r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  <w:br w:type="page"/>
      </w:r>
    </w:p>
    <w:p w:rsidR="00B673A7" w:rsidRPr="00C40EB0" w:rsidRDefault="00B673A7" w:rsidP="00B673A7">
      <w:pPr>
        <w:autoSpaceDE w:val="0"/>
        <w:autoSpaceDN w:val="0"/>
        <w:spacing w:before="26"/>
        <w:ind w:left="3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  <w:lastRenderedPageBreak/>
        <w:t>Information 2: Employee Retraining Board</w:t>
      </w:r>
    </w:p>
    <w:p w:rsidR="00B673A7" w:rsidRPr="00C40EB0" w:rsidRDefault="00B673A7" w:rsidP="00B673A7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</w:pPr>
    </w:p>
    <w:p w:rsidR="00B673A7" w:rsidRPr="00C40EB0" w:rsidRDefault="00B673A7" w:rsidP="00B673A7">
      <w:pPr>
        <w:autoSpaceDE w:val="0"/>
        <w:autoSpaceDN w:val="0"/>
        <w:spacing w:before="1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</w:pPr>
    </w:p>
    <w:tbl>
      <w:tblPr>
        <w:tblStyle w:val="TableNormal2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8549"/>
      </w:tblGrid>
      <w:tr w:rsidR="00B673A7" w:rsidRPr="00C40EB0" w:rsidTr="00144990">
        <w:trPr>
          <w:trHeight w:hRule="exact" w:val="587"/>
        </w:trPr>
        <w:tc>
          <w:tcPr>
            <w:tcW w:w="1494" w:type="dxa"/>
          </w:tcPr>
          <w:p w:rsidR="00B673A7" w:rsidRPr="00C40EB0" w:rsidRDefault="00B673A7" w:rsidP="00144990">
            <w:pPr>
              <w:spacing w:line="262" w:lineRule="exact"/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Duration: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spacing w:line="266" w:lineRule="exact"/>
              <w:ind w:left="9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15 minutes</w:t>
            </w:r>
          </w:p>
        </w:tc>
      </w:tr>
      <w:tr w:rsidR="00B673A7" w:rsidRPr="00C40EB0" w:rsidTr="00144990">
        <w:trPr>
          <w:trHeight w:hRule="exact" w:val="1663"/>
        </w:trPr>
        <w:tc>
          <w:tcPr>
            <w:tcW w:w="1494" w:type="dxa"/>
          </w:tcPr>
          <w:p w:rsidR="00B673A7" w:rsidRPr="00C40EB0" w:rsidRDefault="00B673A7" w:rsidP="00144990">
            <w:pPr>
              <w:spacing w:before="11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673A7" w:rsidRPr="00C40EB0" w:rsidRDefault="00B673A7" w:rsidP="00144990">
            <w:pPr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Objectives: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spacing w:before="11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spacing w:line="412" w:lineRule="auto"/>
              <w:ind w:left="91" w:right="77"/>
              <w:jc w:val="both"/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To provide teachers with the results of a topical survey on recruiting ethnic minorities and an overview of employers’ opinions on NCS community for their preparation for NCS students.</w:t>
            </w:r>
          </w:p>
          <w:p w:rsidR="00B673A7" w:rsidRPr="00C40EB0" w:rsidRDefault="00B673A7" w:rsidP="00144990">
            <w:pPr>
              <w:spacing w:line="412" w:lineRule="auto"/>
              <w:ind w:left="91" w:right="77"/>
              <w:jc w:val="both"/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spacing w:line="412" w:lineRule="auto"/>
              <w:ind w:left="91" w:right="77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br/>
              <w:t xml:space="preserve"> </w:t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br/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br/>
            </w: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從而為校內非華語學生作準備。</w:t>
            </w:r>
          </w:p>
        </w:tc>
      </w:tr>
      <w:tr w:rsidR="00B673A7" w:rsidRPr="00C40EB0" w:rsidTr="00144990">
        <w:trPr>
          <w:trHeight w:hRule="exact" w:val="817"/>
        </w:trPr>
        <w:tc>
          <w:tcPr>
            <w:tcW w:w="1494" w:type="dxa"/>
          </w:tcPr>
          <w:p w:rsidR="00B673A7" w:rsidRPr="00C40EB0" w:rsidRDefault="00B673A7" w:rsidP="00144990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ind w:left="200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How to search: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ind w:left="233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Available on the website of ERB</w:t>
            </w:r>
          </w:p>
        </w:tc>
      </w:tr>
      <w:tr w:rsidR="00B673A7" w:rsidRPr="00C40EB0" w:rsidTr="00144990">
        <w:trPr>
          <w:trHeight w:hRule="exact" w:val="7902"/>
        </w:trPr>
        <w:tc>
          <w:tcPr>
            <w:tcW w:w="1494" w:type="dxa"/>
          </w:tcPr>
          <w:p w:rsidR="00B673A7" w:rsidRPr="00C40EB0" w:rsidRDefault="00B673A7" w:rsidP="00144990">
            <w:pPr>
              <w:spacing w:before="3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  <w:t>Example: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spacing w:before="202" w:line="352" w:lineRule="auto"/>
              <w:ind w:left="91" w:right="77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z w:val="24"/>
                <w:szCs w:val="24"/>
                <w:lang w:val="en-US" w:eastAsia="zh-TW"/>
              </w:rPr>
              <w:t>Topical Survey on Recruiting Ethnic Minorities Summary (2013; 2016) analyses employers’ areas of concerns in recruiting ethnic minorities:</w:t>
            </w:r>
          </w:p>
          <w:p w:rsidR="00B673A7" w:rsidRPr="00C40EB0" w:rsidRDefault="00B673A7" w:rsidP="00B673A7">
            <w:pPr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4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Major areas of concerns on recruiting ethnic minorities: </w:t>
            </w:r>
          </w:p>
          <w:p w:rsidR="00B673A7" w:rsidRPr="00C40EB0" w:rsidRDefault="00B673A7" w:rsidP="00B673A7">
            <w:pPr>
              <w:numPr>
                <w:ilvl w:val="1"/>
                <w:numId w:val="2"/>
              </w:numPr>
              <w:tabs>
                <w:tab w:val="left" w:pos="1051"/>
                <w:tab w:val="left" w:pos="1052"/>
              </w:tabs>
              <w:spacing w:before="151" w:line="352" w:lineRule="auto"/>
              <w:ind w:right="202"/>
              <w:jc w:val="both"/>
              <w:rPr>
                <w:rFonts w:ascii="Times New Roman" w:eastAsia="Wingdings" w:hAnsi="Times New Roman" w:cs="Times New Roman"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Work attitude (29%), ability to listen and speak in Chinese (28%), and the ability to read and write in Chinese (13%). </w:t>
            </w:r>
          </w:p>
          <w:p w:rsidR="00B673A7" w:rsidRPr="00C40EB0" w:rsidRDefault="00B673A7" w:rsidP="00144990">
            <w:pPr>
              <w:spacing w:before="8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B673A7">
            <w:pPr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Training required for ethnic minorities staff:</w:t>
            </w:r>
          </w:p>
          <w:p w:rsidR="00B673A7" w:rsidRPr="00C40EB0" w:rsidRDefault="00B673A7" w:rsidP="00B673A7">
            <w:pPr>
              <w:numPr>
                <w:ilvl w:val="1"/>
                <w:numId w:val="2"/>
              </w:numPr>
              <w:tabs>
                <w:tab w:val="left" w:pos="1051"/>
                <w:tab w:val="left" w:pos="1052"/>
              </w:tabs>
              <w:spacing w:before="151" w:line="360" w:lineRule="auto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Ability to read, write, listen and speak in Chinese (30%), work attitude and conduct (24%) and skills for inclusion in the workplace (20%).</w:t>
            </w:r>
          </w:p>
          <w:p w:rsidR="00B673A7" w:rsidRPr="00C40EB0" w:rsidRDefault="00B673A7" w:rsidP="00B673A7">
            <w:pPr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224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The major challenges in managing ethnic minorities staff: </w:t>
            </w:r>
          </w:p>
          <w:p w:rsidR="00B673A7" w:rsidRPr="00C40EB0" w:rsidRDefault="00B673A7" w:rsidP="00B673A7">
            <w:pPr>
              <w:numPr>
                <w:ilvl w:val="1"/>
                <w:numId w:val="2"/>
              </w:numPr>
              <w:tabs>
                <w:tab w:val="left" w:pos="1051"/>
                <w:tab w:val="left" w:pos="1052"/>
              </w:tabs>
              <w:spacing w:before="150" w:line="352" w:lineRule="auto"/>
              <w:ind w:right="198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 xml:space="preserve">Cultural difference (36%), language communication (32%) and sense of belonging </w:t>
            </w:r>
            <w:r w:rsidRPr="00C40EB0">
              <w:rPr>
                <w:rFonts w:ascii="Times New Roman" w:eastAsia="新細明體" w:hAnsi="Times New Roman" w:cs="Times New Roman"/>
                <w:spacing w:val="-11"/>
                <w:sz w:val="24"/>
                <w:szCs w:val="24"/>
                <w:lang w:val="en-US" w:eastAsia="zh-TW"/>
              </w:rPr>
              <w:t>(11%)</w:t>
            </w:r>
          </w:p>
          <w:p w:rsidR="00B673A7" w:rsidRPr="00C40EB0" w:rsidRDefault="00B673A7" w:rsidP="00144990">
            <w:pPr>
              <w:spacing w:before="5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B673A7">
            <w:pPr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  <w:t>Performance of ethnic minorities as compared to that of other employees:</w:t>
            </w:r>
          </w:p>
          <w:p w:rsidR="00B673A7" w:rsidRPr="00C40EB0" w:rsidRDefault="00B673A7" w:rsidP="00B673A7">
            <w:pPr>
              <w:numPr>
                <w:ilvl w:val="1"/>
                <w:numId w:val="2"/>
              </w:numPr>
              <w:tabs>
                <w:tab w:val="left" w:pos="1051"/>
                <w:tab w:val="left" w:pos="1052"/>
              </w:tabs>
              <w:spacing w:before="151" w:line="360" w:lineRule="auto"/>
              <w:jc w:val="both"/>
              <w:rPr>
                <w:rFonts w:ascii="Times New Roman" w:eastAsia="Wingdings" w:hAnsi="Times New Roman" w:cs="Times New Roman"/>
                <w:color w:val="212121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color w:val="212121"/>
                <w:spacing w:val="1"/>
                <w:sz w:val="24"/>
                <w:szCs w:val="24"/>
                <w:lang w:val="en-US" w:eastAsia="zh-TW"/>
              </w:rPr>
              <w:t>Over 75% companies opined that there is no clear discrepancy between ethnic minorities employees and other employees in terms of diligence, proactivity, motivation and responsibility. And 35% companies believed that ethnic minorities employees are more stable comparatively.</w:t>
            </w:r>
          </w:p>
          <w:p w:rsidR="00B673A7" w:rsidRPr="00C40EB0" w:rsidRDefault="00B673A7" w:rsidP="00144990">
            <w:pPr>
              <w:spacing w:before="153" w:line="357" w:lineRule="auto"/>
              <w:ind w:left="1051" w:right="20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zh-TW"/>
              </w:rPr>
            </w:pPr>
          </w:p>
        </w:tc>
      </w:tr>
      <w:tr w:rsidR="00B673A7" w:rsidRPr="00C40EB0" w:rsidTr="00144990">
        <w:trPr>
          <w:trHeight w:hRule="exact" w:val="603"/>
        </w:trPr>
        <w:tc>
          <w:tcPr>
            <w:tcW w:w="1494" w:type="dxa"/>
          </w:tcPr>
          <w:p w:rsidR="00B673A7" w:rsidRPr="00C40EB0" w:rsidRDefault="00B673A7" w:rsidP="00144990">
            <w:pPr>
              <w:spacing w:before="11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ind w:left="200"/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eastAsia="新細明體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Website: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673A7" w:rsidRPr="00C40EB0" w:rsidRDefault="00F73E72" w:rsidP="00144990">
            <w:pPr>
              <w:ind w:left="91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 w:eastAsia="en-US"/>
              </w:rPr>
            </w:pPr>
            <w:hyperlink r:id="rId7">
              <w:r w:rsidR="00B673A7" w:rsidRPr="00C40EB0">
                <w:rPr>
                  <w:rFonts w:ascii="Times New Roman" w:eastAsia="新細明體" w:hAnsi="Times New Roman" w:cs="Times New Roman"/>
                  <w:color w:val="212121"/>
                  <w:sz w:val="24"/>
                  <w:szCs w:val="24"/>
                  <w:lang w:val="en-US" w:eastAsia="en-US"/>
                </w:rPr>
                <w:t>http://www.erb.org/md/tc/Activities/20160318.php</w:t>
              </w:r>
            </w:hyperlink>
          </w:p>
        </w:tc>
      </w:tr>
    </w:tbl>
    <w:p w:rsidR="00B673A7" w:rsidRPr="00C40EB0" w:rsidRDefault="00B673A7" w:rsidP="00B673A7">
      <w:pPr>
        <w:autoSpaceDE w:val="0"/>
        <w:autoSpaceDN w:val="0"/>
        <w:jc w:val="both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  <w:sectPr w:rsidR="00B673A7" w:rsidRPr="00C40EB0" w:rsidSect="00835C8B">
          <w:headerReference w:type="default" r:id="rId8"/>
          <w:pgSz w:w="11910" w:h="16840"/>
          <w:pgMar w:top="1460" w:right="820" w:bottom="280" w:left="820" w:header="785" w:footer="0" w:gutter="0"/>
          <w:cols w:space="720"/>
        </w:sectPr>
      </w:pPr>
    </w:p>
    <w:p w:rsidR="00B673A7" w:rsidRPr="00C40EB0" w:rsidRDefault="00B673A7" w:rsidP="00B673A7">
      <w:pPr>
        <w:autoSpaceDE w:val="0"/>
        <w:autoSpaceDN w:val="0"/>
        <w:spacing w:before="26"/>
        <w:ind w:left="312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en-US"/>
        </w:rPr>
      </w:pPr>
      <w:r w:rsidRPr="00C40EB0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  <w:lastRenderedPageBreak/>
        <w:t>Information 3: Education Bureau</w:t>
      </w:r>
    </w:p>
    <w:p w:rsidR="00B673A7" w:rsidRPr="00C40EB0" w:rsidRDefault="00B673A7" w:rsidP="00B673A7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p w:rsidR="00B673A7" w:rsidRPr="00C40EB0" w:rsidRDefault="00B673A7" w:rsidP="00B673A7">
      <w:pPr>
        <w:autoSpaceDE w:val="0"/>
        <w:autoSpaceDN w:val="0"/>
        <w:spacing w:before="1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tbl>
      <w:tblPr>
        <w:tblStyle w:val="TableNormal2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8549"/>
      </w:tblGrid>
      <w:tr w:rsidR="00B673A7" w:rsidRPr="00C40EB0" w:rsidTr="00144990">
        <w:trPr>
          <w:trHeight w:hRule="exact" w:val="587"/>
        </w:trPr>
        <w:tc>
          <w:tcPr>
            <w:tcW w:w="1494" w:type="dxa"/>
          </w:tcPr>
          <w:p w:rsidR="00B673A7" w:rsidRPr="00C40EB0" w:rsidRDefault="00B673A7" w:rsidP="00144990">
            <w:pPr>
              <w:spacing w:line="262" w:lineRule="exact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Duration: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spacing w:line="266" w:lineRule="exact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>15 minutes</w:t>
            </w:r>
          </w:p>
        </w:tc>
      </w:tr>
      <w:tr w:rsidR="00B673A7" w:rsidRPr="00C40EB0" w:rsidTr="00144990">
        <w:trPr>
          <w:trHeight w:hRule="exact" w:val="1953"/>
        </w:trPr>
        <w:tc>
          <w:tcPr>
            <w:tcW w:w="1494" w:type="dxa"/>
          </w:tcPr>
          <w:p w:rsidR="00B673A7" w:rsidRPr="00C40EB0" w:rsidRDefault="00B673A7" w:rsidP="00144990">
            <w:pPr>
              <w:spacing w:before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673A7" w:rsidRPr="00C40EB0" w:rsidRDefault="00B673A7" w:rsidP="00144990">
            <w:pPr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Objectives: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spacing w:before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spacing w:line="412" w:lineRule="auto"/>
              <w:ind w:left="91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>To provide teachers the number of primary and secondary schools in admi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tting </w:t>
            </w: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NCS students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in </w:t>
            </w: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Hong Kong, which is further categorized by the proportion of NCS students, so that teachers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>could better</w:t>
            </w: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prepare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and </w:t>
            </w: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address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the </w:t>
            </w: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>needs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of NCS students in the future.</w:t>
            </w:r>
          </w:p>
        </w:tc>
      </w:tr>
      <w:tr w:rsidR="00B673A7" w:rsidRPr="00C40EB0" w:rsidTr="00144990">
        <w:trPr>
          <w:trHeight w:hRule="exact" w:val="888"/>
        </w:trPr>
        <w:tc>
          <w:tcPr>
            <w:tcW w:w="1494" w:type="dxa"/>
          </w:tcPr>
          <w:p w:rsidR="00B673A7" w:rsidRPr="00C40EB0" w:rsidRDefault="00B673A7" w:rsidP="00144990">
            <w:pPr>
              <w:spacing w:before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ind w:left="20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How to search: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spacing w:before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tabs>
                <w:tab w:val="left" w:pos="2252"/>
              </w:tabs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>EDB website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 - </w:t>
            </w: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 xml:space="preserve">publications and statistics </w:t>
            </w:r>
          </w:p>
        </w:tc>
      </w:tr>
      <w:tr w:rsidR="00B673A7" w:rsidRPr="00C40EB0" w:rsidTr="00144990">
        <w:trPr>
          <w:trHeight w:hRule="exact" w:val="890"/>
        </w:trPr>
        <w:tc>
          <w:tcPr>
            <w:tcW w:w="1494" w:type="dxa"/>
          </w:tcPr>
          <w:p w:rsidR="00B673A7" w:rsidRPr="00C40EB0" w:rsidRDefault="00B673A7" w:rsidP="00144990">
            <w:pPr>
              <w:spacing w:before="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spacing w:before="1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Example: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spacing w:before="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spacing w:before="1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>Student Enrolment Statistics 2016/17 (Kindergarten, Primary and Secondary Levels)</w:t>
            </w:r>
          </w:p>
        </w:tc>
      </w:tr>
      <w:tr w:rsidR="00B673A7" w:rsidRPr="00C40EB0" w:rsidTr="00144990">
        <w:trPr>
          <w:trHeight w:hRule="exact" w:val="580"/>
        </w:trPr>
        <w:tc>
          <w:tcPr>
            <w:tcW w:w="1494" w:type="dxa"/>
          </w:tcPr>
          <w:p w:rsidR="00B673A7" w:rsidRPr="00C40EB0" w:rsidRDefault="00B673A7" w:rsidP="00144990">
            <w:p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  <w:t xml:space="preserve">Website:  </w:t>
            </w:r>
          </w:p>
        </w:tc>
        <w:tc>
          <w:tcPr>
            <w:tcW w:w="8549" w:type="dxa"/>
          </w:tcPr>
          <w:p w:rsidR="00B673A7" w:rsidRPr="00C40EB0" w:rsidRDefault="00B673A7" w:rsidP="00144990">
            <w:pPr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673A7" w:rsidRPr="00C40EB0" w:rsidRDefault="00B673A7" w:rsidP="00144990">
            <w:pPr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3042B">
              <w:rPr>
                <w:rFonts w:ascii="Times New Roman" w:hAnsi="Times New Roman" w:cs="Times New Roman"/>
                <w:sz w:val="24"/>
                <w:szCs w:val="24"/>
              </w:rPr>
              <w:t>https://www.edb.gov.hk/tc/about-edb/publications-stat/figures/index_1.html</w:t>
            </w:r>
          </w:p>
        </w:tc>
      </w:tr>
    </w:tbl>
    <w:p w:rsidR="00B673A7" w:rsidRPr="00C40EB0" w:rsidRDefault="00B673A7" w:rsidP="00B673A7">
      <w:pPr>
        <w:autoSpaceDE w:val="0"/>
        <w:autoSpaceDN w:val="0"/>
        <w:jc w:val="both"/>
        <w:rPr>
          <w:rFonts w:ascii="Times New Roman" w:eastAsia="新細明體" w:hAnsi="Times New Roman" w:cs="Times New Roman"/>
          <w:kern w:val="0"/>
          <w:szCs w:val="24"/>
          <w:lang w:val="en-US" w:eastAsia="en-US"/>
        </w:rPr>
        <w:sectPr w:rsidR="00B673A7" w:rsidRPr="00C40EB0" w:rsidSect="00835C8B">
          <w:headerReference w:type="default" r:id="rId9"/>
          <w:pgSz w:w="11910" w:h="16840"/>
          <w:pgMar w:top="1460" w:right="820" w:bottom="280" w:left="820" w:header="782" w:footer="0" w:gutter="0"/>
          <w:cols w:space="720"/>
        </w:sectPr>
      </w:pPr>
    </w:p>
    <w:p w:rsidR="00B673A7" w:rsidRPr="00C40EB0" w:rsidRDefault="00B673A7" w:rsidP="00B673A7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  <w:lastRenderedPageBreak/>
        <w:t>Annex 4</w:t>
      </w:r>
    </w:p>
    <w:p w:rsidR="00B673A7" w:rsidRPr="00C40EB0" w:rsidRDefault="00B673A7" w:rsidP="00B673A7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</w:pPr>
      <w:r w:rsidRPr="00C40EB0">
        <w:rPr>
          <w:rFonts w:ascii="Times New Roman" w:eastAsia="新細明體" w:hAnsi="Times New Roman" w:cs="Times New Roman"/>
          <w:b/>
          <w:kern w:val="0"/>
          <w:szCs w:val="24"/>
          <w:lang w:val="en-US" w:eastAsia="zh-TW"/>
        </w:rPr>
        <w:t>Topic 1: Related Statistics of NCS Community</w:t>
      </w:r>
    </w:p>
    <w:p w:rsidR="00B673A7" w:rsidRPr="00C40EB0" w:rsidRDefault="00B673A7" w:rsidP="00B673A7">
      <w:pPr>
        <w:autoSpaceDE w:val="0"/>
        <w:autoSpaceDN w:val="0"/>
        <w:spacing w:before="26"/>
        <w:ind w:left="312" w:rightChars="-106" w:right="-254"/>
        <w:jc w:val="both"/>
        <w:rPr>
          <w:rFonts w:ascii="Times New Roman" w:eastAsia="新細明體" w:hAnsi="Times New Roman" w:cs="Times New Roman"/>
          <w:b/>
          <w:bCs/>
          <w:kern w:val="0"/>
          <w:szCs w:val="24"/>
          <w:lang w:val="en-US" w:eastAsia="en-US"/>
        </w:rPr>
      </w:pPr>
      <w:r w:rsidRPr="00C40EB0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lang w:val="en-US" w:eastAsia="zh-TW"/>
        </w:rPr>
        <w:br/>
        <w:t>Information 4: School database</w:t>
      </w:r>
    </w:p>
    <w:p w:rsidR="00B673A7" w:rsidRPr="00C40EB0" w:rsidRDefault="00B673A7" w:rsidP="00B673A7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p w:rsidR="00B673A7" w:rsidRPr="00C40EB0" w:rsidRDefault="00B673A7" w:rsidP="00B673A7">
      <w:pPr>
        <w:autoSpaceDE w:val="0"/>
        <w:autoSpaceDN w:val="0"/>
        <w:spacing w:before="10"/>
        <w:jc w:val="both"/>
        <w:rPr>
          <w:rFonts w:ascii="Times New Roman" w:eastAsia="新細明體" w:hAnsi="Times New Roman" w:cs="Times New Roman"/>
          <w:b/>
          <w:kern w:val="0"/>
          <w:szCs w:val="24"/>
          <w:lang w:val="en-US" w:eastAsia="en-US"/>
        </w:rPr>
      </w:pPr>
    </w:p>
    <w:tbl>
      <w:tblPr>
        <w:tblStyle w:val="TableNormal2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8565"/>
      </w:tblGrid>
      <w:tr w:rsidR="00B673A7" w:rsidRPr="00C40EB0" w:rsidTr="00144990">
        <w:trPr>
          <w:trHeight w:hRule="exact" w:val="587"/>
        </w:trPr>
        <w:tc>
          <w:tcPr>
            <w:tcW w:w="1476" w:type="dxa"/>
          </w:tcPr>
          <w:p w:rsidR="00B673A7" w:rsidRPr="00C40EB0" w:rsidRDefault="00B673A7" w:rsidP="00144990">
            <w:pPr>
              <w:spacing w:line="262" w:lineRule="exact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Duration:</w:t>
            </w:r>
          </w:p>
        </w:tc>
        <w:tc>
          <w:tcPr>
            <w:tcW w:w="8565" w:type="dxa"/>
          </w:tcPr>
          <w:p w:rsidR="00B673A7" w:rsidRPr="00C40EB0" w:rsidRDefault="00B673A7" w:rsidP="00144990">
            <w:pPr>
              <w:spacing w:line="266" w:lineRule="exact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40EB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n-US"/>
              </w:rPr>
              <w:t>15 minutes</w:t>
            </w:r>
          </w:p>
        </w:tc>
      </w:tr>
      <w:tr w:rsidR="00B673A7" w:rsidRPr="00C40EB0" w:rsidTr="00144990">
        <w:trPr>
          <w:trHeight w:hRule="exact" w:val="2397"/>
        </w:trPr>
        <w:tc>
          <w:tcPr>
            <w:tcW w:w="1476" w:type="dxa"/>
          </w:tcPr>
          <w:p w:rsidR="00B673A7" w:rsidRPr="00C40EB0" w:rsidRDefault="00B673A7" w:rsidP="00144990">
            <w:pPr>
              <w:spacing w:before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673A7" w:rsidRPr="00C40EB0" w:rsidRDefault="00B673A7" w:rsidP="00144990">
            <w:pPr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 w:eastAsia="zh-TW"/>
              </w:rPr>
              <w:t>Objectives</w:t>
            </w:r>
          </w:p>
        </w:tc>
        <w:tc>
          <w:tcPr>
            <w:tcW w:w="8565" w:type="dxa"/>
          </w:tcPr>
          <w:p w:rsidR="00B673A7" w:rsidRPr="00C40EB0" w:rsidRDefault="00B673A7" w:rsidP="00144990">
            <w:pPr>
              <w:spacing w:before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spacing w:line="412" w:lineRule="auto"/>
              <w:ind w:left="78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 xml:space="preserve">Teachers may refer to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 xml:space="preserve">enrollment 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statistics of NCS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 xml:space="preserve">tudents </w:t>
            </w:r>
            <w:r w:rsidRPr="00C40EB0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 xml:space="preserve">in terms of the number of students, background, ethnicity, language spoken and grades to provide suitable life planning training and activities to students. </w:t>
            </w:r>
          </w:p>
        </w:tc>
      </w:tr>
      <w:tr w:rsidR="00B673A7" w:rsidRPr="00C40EB0" w:rsidTr="00144990">
        <w:trPr>
          <w:trHeight w:hRule="exact" w:val="1093"/>
        </w:trPr>
        <w:tc>
          <w:tcPr>
            <w:tcW w:w="1476" w:type="dxa"/>
          </w:tcPr>
          <w:p w:rsidR="00B673A7" w:rsidRPr="00C40EB0" w:rsidRDefault="00B673A7" w:rsidP="00144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ind w:left="200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  <w:t>How to search:</w:t>
            </w:r>
          </w:p>
        </w:tc>
        <w:tc>
          <w:tcPr>
            <w:tcW w:w="8565" w:type="dxa"/>
          </w:tcPr>
          <w:p w:rsidR="00B673A7" w:rsidRPr="00C40EB0" w:rsidRDefault="00B673A7" w:rsidP="00144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TW"/>
              </w:rPr>
            </w:pPr>
          </w:p>
          <w:p w:rsidR="00B673A7" w:rsidRPr="00C40EB0" w:rsidRDefault="00B673A7" w:rsidP="00144990">
            <w:pPr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C40EB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zh-TW"/>
              </w:rPr>
              <w:t>School Database</w:t>
            </w:r>
          </w:p>
        </w:tc>
      </w:tr>
    </w:tbl>
    <w:p w:rsidR="0005786F" w:rsidRPr="003D0DFC" w:rsidRDefault="0005786F"/>
    <w:sectPr w:rsidR="0005786F" w:rsidRPr="003D0DFC" w:rsidSect="003D0D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72" w:rsidRDefault="00F73E72" w:rsidP="003D0DFC">
      <w:r>
        <w:separator/>
      </w:r>
    </w:p>
  </w:endnote>
  <w:endnote w:type="continuationSeparator" w:id="0">
    <w:p w:rsidR="00F73E72" w:rsidRDefault="00F73E72" w:rsidP="003D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72" w:rsidRDefault="00F73E72" w:rsidP="003D0DFC">
      <w:r>
        <w:separator/>
      </w:r>
    </w:p>
  </w:footnote>
  <w:footnote w:type="continuationSeparator" w:id="0">
    <w:p w:rsidR="00F73E72" w:rsidRDefault="00F73E72" w:rsidP="003D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7" w:rsidRDefault="00B673A7">
    <w:pPr>
      <w:pStyle w:val="BodyText"/>
      <w:spacing w:line="14" w:lineRule="auto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7" w:rsidRDefault="00B673A7">
    <w:pPr>
      <w:pStyle w:val="BodyText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3912"/>
    <w:multiLevelType w:val="hybridMultilevel"/>
    <w:tmpl w:val="32AA001C"/>
    <w:lvl w:ilvl="0" w:tplc="8F36AB42">
      <w:numFmt w:val="bullet"/>
      <w:lvlText w:val=""/>
      <w:lvlJc w:val="left"/>
      <w:pPr>
        <w:ind w:left="571" w:hanging="480"/>
      </w:pPr>
      <w:rPr>
        <w:rFonts w:ascii="Wingdings" w:eastAsia="Wingdings" w:hAnsi="Wingdings" w:cs="Wingdings" w:hint="default"/>
        <w:color w:val="212121"/>
        <w:w w:val="100"/>
        <w:sz w:val="24"/>
        <w:szCs w:val="24"/>
      </w:rPr>
    </w:lvl>
    <w:lvl w:ilvl="1" w:tplc="8DE2ABF6">
      <w:numFmt w:val="bullet"/>
      <w:lvlText w:val=""/>
      <w:lvlJc w:val="left"/>
      <w:pPr>
        <w:ind w:left="1051" w:hanging="480"/>
      </w:pPr>
      <w:rPr>
        <w:rFonts w:hint="default"/>
        <w:w w:val="100"/>
      </w:rPr>
    </w:lvl>
    <w:lvl w:ilvl="2" w:tplc="832CB790">
      <w:numFmt w:val="bullet"/>
      <w:lvlText w:val="•"/>
      <w:lvlJc w:val="left"/>
      <w:pPr>
        <w:ind w:left="1892" w:hanging="480"/>
      </w:pPr>
      <w:rPr>
        <w:rFonts w:hint="default"/>
      </w:rPr>
    </w:lvl>
    <w:lvl w:ilvl="3" w:tplc="A3740BD6">
      <w:numFmt w:val="bullet"/>
      <w:lvlText w:val="•"/>
      <w:lvlJc w:val="left"/>
      <w:pPr>
        <w:ind w:left="2724" w:hanging="480"/>
      </w:pPr>
      <w:rPr>
        <w:rFonts w:hint="default"/>
      </w:rPr>
    </w:lvl>
    <w:lvl w:ilvl="4" w:tplc="55BC8350">
      <w:numFmt w:val="bullet"/>
      <w:lvlText w:val="•"/>
      <w:lvlJc w:val="left"/>
      <w:pPr>
        <w:ind w:left="3556" w:hanging="480"/>
      </w:pPr>
      <w:rPr>
        <w:rFonts w:hint="default"/>
      </w:rPr>
    </w:lvl>
    <w:lvl w:ilvl="5" w:tplc="115A1AC6">
      <w:numFmt w:val="bullet"/>
      <w:lvlText w:val="•"/>
      <w:lvlJc w:val="left"/>
      <w:pPr>
        <w:ind w:left="4388" w:hanging="480"/>
      </w:pPr>
      <w:rPr>
        <w:rFonts w:hint="default"/>
      </w:rPr>
    </w:lvl>
    <w:lvl w:ilvl="6" w:tplc="68805218">
      <w:numFmt w:val="bullet"/>
      <w:lvlText w:val="•"/>
      <w:lvlJc w:val="left"/>
      <w:pPr>
        <w:ind w:left="5220" w:hanging="480"/>
      </w:pPr>
      <w:rPr>
        <w:rFonts w:hint="default"/>
      </w:rPr>
    </w:lvl>
    <w:lvl w:ilvl="7" w:tplc="CB9472FE">
      <w:numFmt w:val="bullet"/>
      <w:lvlText w:val="•"/>
      <w:lvlJc w:val="left"/>
      <w:pPr>
        <w:ind w:left="6052" w:hanging="480"/>
      </w:pPr>
      <w:rPr>
        <w:rFonts w:hint="default"/>
      </w:rPr>
    </w:lvl>
    <w:lvl w:ilvl="8" w:tplc="EB58533E">
      <w:numFmt w:val="bullet"/>
      <w:lvlText w:val="•"/>
      <w:lvlJc w:val="left"/>
      <w:pPr>
        <w:ind w:left="6884" w:hanging="480"/>
      </w:pPr>
      <w:rPr>
        <w:rFonts w:hint="default"/>
      </w:rPr>
    </w:lvl>
  </w:abstractNum>
  <w:abstractNum w:abstractNumId="1" w15:restartNumberingAfterBreak="0">
    <w:nsid w:val="7E140D5A"/>
    <w:multiLevelType w:val="hybridMultilevel"/>
    <w:tmpl w:val="B9D4B1D6"/>
    <w:lvl w:ilvl="0" w:tplc="CC068A6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</w:rPr>
    </w:lvl>
    <w:lvl w:ilvl="1" w:tplc="6C46285A">
      <w:numFmt w:val="bullet"/>
      <w:lvlText w:val="•"/>
      <w:lvlJc w:val="left"/>
      <w:pPr>
        <w:ind w:left="1291" w:hanging="360"/>
      </w:pPr>
      <w:rPr>
        <w:rFonts w:hint="default"/>
      </w:rPr>
    </w:lvl>
    <w:lvl w:ilvl="2" w:tplc="6896C8AA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CB28739A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5D6458CC">
      <w:numFmt w:val="bullet"/>
      <w:lvlText w:val="•"/>
      <w:lvlJc w:val="left"/>
      <w:pPr>
        <w:ind w:left="3787" w:hanging="360"/>
      </w:pPr>
      <w:rPr>
        <w:rFonts w:hint="default"/>
      </w:rPr>
    </w:lvl>
    <w:lvl w:ilvl="5" w:tplc="26B8D538"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68F28470">
      <w:numFmt w:val="bullet"/>
      <w:lvlText w:val="•"/>
      <w:lvlJc w:val="left"/>
      <w:pPr>
        <w:ind w:left="5451" w:hanging="360"/>
      </w:pPr>
      <w:rPr>
        <w:rFonts w:hint="default"/>
      </w:rPr>
    </w:lvl>
    <w:lvl w:ilvl="7" w:tplc="57EA45E6">
      <w:numFmt w:val="bullet"/>
      <w:lvlText w:val="•"/>
      <w:lvlJc w:val="left"/>
      <w:pPr>
        <w:ind w:left="6283" w:hanging="360"/>
      </w:pPr>
      <w:rPr>
        <w:rFonts w:hint="default"/>
      </w:rPr>
    </w:lvl>
    <w:lvl w:ilvl="8" w:tplc="EB803DA4">
      <w:numFmt w:val="bullet"/>
      <w:lvlText w:val="•"/>
      <w:lvlJc w:val="left"/>
      <w:pPr>
        <w:ind w:left="711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30"/>
    <w:rsid w:val="00025662"/>
    <w:rsid w:val="0005786F"/>
    <w:rsid w:val="001C6CFC"/>
    <w:rsid w:val="003D0DFC"/>
    <w:rsid w:val="006A6930"/>
    <w:rsid w:val="00A9202C"/>
    <w:rsid w:val="00B673A7"/>
    <w:rsid w:val="00EE5F39"/>
    <w:rsid w:val="00F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1BAF8-3F67-419E-9274-3E45CEA0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DFC"/>
    <w:pPr>
      <w:widowControl w:val="0"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link w:val="SmallChar"/>
    <w:uiPriority w:val="1"/>
    <w:qFormat/>
    <w:rsid w:val="00025662"/>
    <w:pPr>
      <w:tabs>
        <w:tab w:val="left" w:pos="6852"/>
      </w:tabs>
      <w:autoSpaceDE w:val="0"/>
      <w:autoSpaceDN w:val="0"/>
      <w:spacing w:before="102"/>
      <w:ind w:left="3631"/>
    </w:pPr>
    <w:rPr>
      <w:rFonts w:ascii="Calibri" w:eastAsia="Calibri" w:hAnsi="Calibri" w:cs="Calibri"/>
      <w:color w:val="939598"/>
      <w:w w:val="120"/>
      <w:sz w:val="14"/>
      <w:lang w:bidi="en-US"/>
    </w:rPr>
  </w:style>
  <w:style w:type="character" w:customStyle="1" w:styleId="SmallChar">
    <w:name w:val="Small Char"/>
    <w:basedOn w:val="DefaultParagraphFont"/>
    <w:link w:val="Small"/>
    <w:uiPriority w:val="1"/>
    <w:rsid w:val="00025662"/>
    <w:rPr>
      <w:rFonts w:ascii="Calibri" w:eastAsia="Calibri" w:hAnsi="Calibri" w:cs="Calibri"/>
      <w:color w:val="939598"/>
      <w:w w:val="120"/>
      <w:sz w:val="1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D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D0DF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D0DFC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D0DFC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D0DFC"/>
    <w:rPr>
      <w:rFonts w:ascii="新細明體" w:eastAsia="新細明體" w:hAnsi="新細明體" w:cs="新細明體"/>
      <w:kern w:val="0"/>
      <w:szCs w:val="24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3D0D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b.org/md/tc/Activities/20160318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538</Words>
  <Characters>3073</Characters>
  <Application>Microsoft Office Word</Application>
  <DocSecurity>0</DocSecurity>
  <Lines>25</Lines>
  <Paragraphs>7</Paragraphs>
  <ScaleCrop>false</ScaleCrop>
  <Company>EDB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Shing-chung</dc:creator>
  <cp:keywords/>
  <dc:description/>
  <cp:lastModifiedBy>LO, Shing-chung</cp:lastModifiedBy>
  <cp:revision>4</cp:revision>
  <dcterms:created xsi:type="dcterms:W3CDTF">2020-11-06T06:34:00Z</dcterms:created>
  <dcterms:modified xsi:type="dcterms:W3CDTF">2020-11-06T08:16:00Z</dcterms:modified>
</cp:coreProperties>
</file>