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38"/>
        </w:rPr>
      </w:pPr>
    </w:p>
    <w:p>
      <w:pPr>
        <w:pStyle w:val="Heading1"/>
        <w:ind w:left="3841" w:firstLine="0"/>
      </w:pPr>
      <w:r>
        <w:rPr>
          <w:color w:val="212121"/>
          <w:spacing w:val="-2"/>
        </w:rPr>
        <w:t>主題 </w:t>
      </w:r>
      <w:r>
        <w:rPr>
          <w:rFonts w:ascii="Times New Roman" w:eastAsia="Times New Roman"/>
          <w:color w:val="212121"/>
        </w:rPr>
        <w:t>2</w:t>
      </w:r>
      <w:r>
        <w:rPr>
          <w:color w:val="212121"/>
        </w:rPr>
        <w:t>：升學及就業理論</w:t>
      </w:r>
    </w:p>
    <w:p>
      <w:pPr>
        <w:spacing w:before="12"/>
        <w:ind w:left="0" w:right="596" w:firstLine="0"/>
        <w:jc w:val="right"/>
        <w:rPr>
          <w:b/>
          <w:sz w:val="24"/>
        </w:rPr>
      </w:pPr>
      <w:r>
        <w:rPr/>
        <w:br w:type="column"/>
      </w:r>
      <w:r>
        <w:rPr>
          <w:b/>
          <w:w w:val="95"/>
          <w:sz w:val="24"/>
        </w:rPr>
        <w:t>附件五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680" w:bottom="280" w:left="820" w:right="600"/>
          <w:cols w:num="2" w:equalWidth="0">
            <w:col w:w="6424" w:space="40"/>
            <w:col w:w="4026"/>
          </w:cols>
        </w:sectPr>
      </w:pPr>
    </w:p>
    <w:p>
      <w:pPr>
        <w:pStyle w:val="BodyText"/>
        <w:spacing w:before="12"/>
        <w:rPr>
          <w:b/>
          <w:sz w:val="14"/>
        </w:rPr>
      </w:pPr>
    </w:p>
    <w:p>
      <w:pPr>
        <w:pStyle w:val="Heading1"/>
        <w:spacing w:before="26"/>
        <w:ind w:left="312" w:firstLine="0"/>
      </w:pPr>
      <w:r>
        <w:rPr>
          <w:color w:val="212121"/>
          <w:w w:val="95"/>
        </w:rPr>
        <w:t>理論一：生涯規劃的三個元素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058"/>
      </w:tblGrid>
      <w:tr>
        <w:trPr>
          <w:trHeight w:val="587" w:hRule="exact"/>
        </w:trPr>
        <w:tc>
          <w:tcPr>
            <w:tcW w:w="1476" w:type="dxa"/>
          </w:tcPr>
          <w:p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所需時間：</w:t>
            </w:r>
          </w:p>
        </w:tc>
        <w:tc>
          <w:tcPr>
            <w:tcW w:w="1058" w:type="dxa"/>
          </w:tcPr>
          <w:p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rFonts w:ascii="Times New Roman" w:eastAsia="Times New Roman"/>
                <w:color w:val="212121"/>
                <w:sz w:val="24"/>
              </w:rPr>
              <w:t>15 </w:t>
            </w:r>
            <w:r>
              <w:rPr>
                <w:color w:val="212121"/>
                <w:sz w:val="24"/>
              </w:rPr>
              <w:t>分鐘</w:t>
            </w:r>
          </w:p>
        </w:tc>
      </w:tr>
      <w:tr>
        <w:trPr>
          <w:trHeight w:val="561" w:hRule="exact"/>
        </w:trPr>
        <w:tc>
          <w:tcPr>
            <w:tcW w:w="1476" w:type="dxa"/>
          </w:tcPr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內容：</w:t>
            </w:r>
          </w:p>
        </w:tc>
        <w:tc>
          <w:tcPr>
            <w:tcW w:w="1058" w:type="dxa"/>
          </w:tcPr>
          <w:p>
            <w:pPr/>
          </w:p>
        </w:tc>
      </w:tr>
    </w:tbl>
    <w:p>
      <w:pPr>
        <w:pStyle w:val="BodyText"/>
        <w:spacing w:before="8"/>
        <w:rPr>
          <w:b/>
          <w:sz w:val="13"/>
        </w:rPr>
      </w:pPr>
    </w:p>
    <w:p>
      <w:pPr>
        <w:pStyle w:val="BodyText"/>
        <w:spacing w:line="410" w:lineRule="auto" w:before="48"/>
        <w:ind w:left="312" w:right="534" w:firstLine="658"/>
        <w:jc w:val="both"/>
      </w:pPr>
      <w:r>
        <w:rPr>
          <w:spacing w:val="-3"/>
        </w:rPr>
        <w:t>參考教育局學校發展分部升學及就業輔導組</w:t>
      </w:r>
      <w:r>
        <w:rPr/>
        <w:t>（</w:t>
      </w:r>
      <w:r>
        <w:rPr>
          <w:rFonts w:ascii="Times New Roman" w:eastAsia="Times New Roman"/>
        </w:rPr>
        <w:t>2014 </w:t>
      </w:r>
      <w:r>
        <w:rPr/>
        <w:t>年</w:t>
      </w:r>
      <w:r>
        <w:rPr>
          <w:spacing w:val="-161"/>
        </w:rPr>
        <w:t>）</w:t>
      </w:r>
      <w:r>
        <w:rPr/>
        <w:t>《中學生涯規劃教育及升學就業輔導指引》為藍本，將計劃重點放於自我認識及發展、事業探索和規劃與管理三個生涯規劃的元素。</w:t>
      </w:r>
    </w:p>
    <w:p>
      <w:pPr>
        <w:pStyle w:val="Heading1"/>
        <w:spacing w:before="3"/>
        <w:ind w:left="312" w:firstLine="0"/>
      </w:pPr>
      <w:r>
        <w:rPr/>
        <w:pict>
          <v:group style="position:absolute;margin-left:63.493999pt;margin-top:18.732483pt;width:496.8pt;height:199.4pt;mso-position-horizontal-relative:page;mso-position-vertical-relative:paragraph;z-index:1048;mso-wrap-distance-left:0;mso-wrap-distance-right:0" coordorigin="1270,375" coordsize="9936,3988">
            <v:shape style="position:absolute;left:7975;top:1998;width:3008;height:742" coordorigin="7975,1998" coordsize="3008,742" path="m7975,1998l10612,1998,10983,2369,10612,2740,7975,2740,7975,1998xe" filled="false" stroked="true" strokeweight="1pt" strokecolor="#000000">
              <v:path arrowok="t"/>
              <v:stroke dashstyle="solid"/>
            </v:shape>
            <v:shape style="position:absolute;left:5366;top:2001;width:3008;height:742" coordorigin="5366,2001" coordsize="3008,742" path="m8003,2001l5366,2001,5366,2743,8003,2743,8374,2372,8003,2001xe" filled="true" fillcolor="#ffffff" stroked="false">
              <v:path arrowok="t"/>
              <v:fill type="solid"/>
            </v:shape>
            <v:shape style="position:absolute;left:5366;top:2001;width:3008;height:742" coordorigin="5366,2001" coordsize="3008,742" path="m5366,2001l8003,2001,8374,2372,8003,2743,5366,2743,5366,2001xe" filled="false" stroked="true" strokeweight="1pt" strokecolor="#000000">
              <v:path arrowok="t"/>
              <v:stroke dashstyle="solid"/>
            </v:shape>
            <v:shape style="position:absolute;left:2997;top:1992;width:3008;height:742" coordorigin="2997,1992" coordsize="3008,742" path="m5634,1992l2997,1992,2997,2734,5634,2734,6005,2363,5634,1992xe" filled="true" fillcolor="#ffffff" stroked="false">
              <v:path arrowok="t"/>
              <v:fill type="solid"/>
            </v:shape>
            <v:shape style="position:absolute;left:2997;top:1992;width:3008;height:742" coordorigin="2997,1992" coordsize="3008,742" path="m2997,1992l5634,1992,6005,2363,5634,2734,2997,2734,2997,1992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75;top:380;width:9926;height:3978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16"/>
                      </w:rPr>
                    </w:pPr>
                  </w:p>
                  <w:p>
                    <w:pPr>
                      <w:tabs>
                        <w:tab w:pos="5019" w:val="left" w:leader="none"/>
                        <w:tab w:pos="7268" w:val="left" w:leader="none"/>
                      </w:tabs>
                      <w:spacing w:before="1"/>
                      <w:ind w:left="228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自我認識及發展</w:t>
                      <w:tab/>
                      <w:t>事業探索</w:t>
                      <w:tab/>
                      <w:t>事業規劃與管理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圖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8"/>
        </w:rPr>
        <w:t> </w:t>
      </w:r>
      <w:r>
        <w:rPr/>
        <w:t>生涯規劃的三個元素</w:t>
      </w:r>
    </w:p>
    <w:p>
      <w:pPr>
        <w:pStyle w:val="ListParagraph"/>
        <w:numPr>
          <w:ilvl w:val="0"/>
          <w:numId w:val="1"/>
        </w:numPr>
        <w:tabs>
          <w:tab w:pos="1753" w:val="left" w:leader="none"/>
          <w:tab w:pos="1754" w:val="left" w:leader="none"/>
        </w:tabs>
        <w:spacing w:line="240" w:lineRule="auto" w:before="47" w:after="0"/>
        <w:ind w:left="1753" w:right="0" w:hanging="480"/>
        <w:jc w:val="left"/>
        <w:rPr>
          <w:b/>
          <w:sz w:val="24"/>
        </w:rPr>
      </w:pPr>
      <w:r>
        <w:rPr>
          <w:b/>
          <w:sz w:val="24"/>
        </w:rPr>
        <w:t>自我認識及發展</w:t>
      </w:r>
    </w:p>
    <w:p>
      <w:pPr>
        <w:pStyle w:val="BodyText"/>
        <w:spacing w:before="222"/>
        <w:ind w:left="1930"/>
      </w:pPr>
      <w:r>
        <w:rPr/>
        <w:t>認識自己及外在因素的影響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753" w:val="left" w:leader="none"/>
          <w:tab w:pos="1754" w:val="left" w:leader="none"/>
        </w:tabs>
        <w:spacing w:line="240" w:lineRule="auto" w:before="0" w:after="0"/>
        <w:ind w:left="1753" w:right="0" w:hanging="480"/>
        <w:jc w:val="left"/>
      </w:pPr>
      <w:r>
        <w:rPr>
          <w:w w:val="95"/>
        </w:rPr>
        <w:t>事業探索</w:t>
      </w:r>
    </w:p>
    <w:p>
      <w:pPr>
        <w:pStyle w:val="BodyText"/>
        <w:spacing w:before="223"/>
        <w:ind w:left="1930"/>
      </w:pPr>
      <w:r>
        <w:rPr/>
        <w:t>探究學習和工作的機會與限制及可提供的選擇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753" w:val="left" w:leader="none"/>
          <w:tab w:pos="1754" w:val="left" w:leader="none"/>
        </w:tabs>
        <w:spacing w:line="240" w:lineRule="auto" w:before="0" w:after="0"/>
        <w:ind w:left="1753" w:right="0" w:hanging="480"/>
        <w:jc w:val="left"/>
      </w:pPr>
      <w:r>
        <w:rPr/>
        <w:t>事業規劃與管理</w:t>
      </w:r>
    </w:p>
    <w:p>
      <w:pPr>
        <w:pStyle w:val="BodyText"/>
        <w:spacing w:before="222"/>
        <w:ind w:left="1930"/>
      </w:pPr>
      <w:r>
        <w:rPr/>
        <w:t>作出決定、製訂計劃並付諸實行，從而面對各種轉變及由學習過渡至工作的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273"/>
      </w:pPr>
      <w:r>
        <w:rPr/>
        <w:t>轉變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8546"/>
      </w:tblGrid>
      <w:tr>
        <w:trPr>
          <w:trHeight w:val="1449" w:hRule="exact"/>
        </w:trPr>
        <w:tc>
          <w:tcPr>
            <w:tcW w:w="1494" w:type="dxa"/>
          </w:tcPr>
          <w:p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參考書目：</w:t>
            </w:r>
          </w:p>
        </w:tc>
        <w:tc>
          <w:tcPr>
            <w:tcW w:w="8546" w:type="dxa"/>
          </w:tcPr>
          <w:p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pacing w:val="-7"/>
                <w:sz w:val="24"/>
              </w:rPr>
              <w:t>教育局學校發展分部升學及就業輔導組。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2014 </w:t>
            </w:r>
            <w:r>
              <w:rPr>
                <w:spacing w:val="4"/>
                <w:sz w:val="24"/>
              </w:rPr>
              <w:t>年 </w:t>
            </w:r>
            <w:r>
              <w:rPr>
                <w:rFonts w:ascii="Times New Roman" w:eastAsia="Times New Roman"/>
                <w:sz w:val="24"/>
              </w:rPr>
              <w:t>5 </w:t>
            </w:r>
            <w:r>
              <w:rPr>
                <w:sz w:val="24"/>
              </w:rPr>
              <w:t>月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"/>
                <w:sz w:val="24"/>
              </w:rPr>
              <w:t>《中學生涯規劃教育及</w:t>
            </w:r>
          </w:p>
          <w:p>
            <w:pPr>
              <w:pStyle w:val="TableParagraph"/>
              <w:tabs>
                <w:tab w:pos="767" w:val="left" w:leader="none"/>
                <w:tab w:pos="1444" w:val="left" w:leader="none"/>
                <w:tab w:pos="2123" w:val="left" w:leader="none"/>
                <w:tab w:pos="2799" w:val="left" w:leader="none"/>
                <w:tab w:pos="3476" w:val="left" w:leader="none"/>
                <w:tab w:pos="4155" w:val="left" w:leader="none"/>
                <w:tab w:pos="4831" w:val="left" w:leader="none"/>
                <w:tab w:pos="5508" w:val="left" w:leader="none"/>
                <w:tab w:pos="6070" w:val="left" w:leader="none"/>
                <w:tab w:pos="6747" w:val="left" w:leader="none"/>
                <w:tab w:pos="7424" w:val="left" w:leader="none"/>
                <w:tab w:pos="8100" w:val="left" w:leader="none"/>
              </w:tabs>
              <w:spacing w:before="42"/>
              <w:ind w:left="91"/>
              <w:rPr>
                <w:sz w:val="24"/>
              </w:rPr>
            </w:pPr>
            <w:r>
              <w:rPr>
                <w:sz w:val="24"/>
              </w:rPr>
              <w:t>升</w:t>
              <w:tab/>
              <w:t>學</w:t>
              <w:tab/>
              <w:t>就</w:t>
              <w:tab/>
              <w:t>業</w:t>
              <w:tab/>
              <w:t>輔</w:t>
              <w:tab/>
              <w:t>導</w:t>
              <w:tab/>
              <w:t>指</w:t>
              <w:tab/>
              <w:t>引</w:t>
              <w:tab/>
              <w:t>》</w:t>
              <w:tab/>
              <w:t>。</w:t>
              <w:tab/>
              <w:t>網</w:t>
              <w:tab/>
              <w:t>址</w:t>
              <w:tab/>
              <w:t>：</w:t>
            </w:r>
          </w:p>
          <w:p>
            <w:pPr>
              <w:pStyle w:val="TableParagraph"/>
              <w:spacing w:before="100"/>
              <w:ind w:lef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https://careerguidance.edb.hkedcity.net/edb/export/sites/default/</w:t>
            </w:r>
          </w:p>
          <w:p>
            <w:pPr>
              <w:pStyle w:val="TableParagraph"/>
              <w:spacing w:before="175"/>
              <w:ind w:lef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lifeplanning/.pdf/about-careers-guidance/CLP-Guide_Chi_15_Clear-version.pdf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680" w:bottom="280" w:left="820" w:right="600"/>
        </w:sectPr>
      </w:pPr>
    </w:p>
    <w:p>
      <w:pPr>
        <w:pStyle w:val="Heading1"/>
        <w:spacing w:before="12"/>
        <w:ind w:left="0" w:right="296" w:firstLine="0"/>
        <w:jc w:val="right"/>
      </w:pPr>
      <w:r>
        <w:rPr>
          <w:w w:val="95"/>
        </w:rPr>
        <w:t>附件六</w:t>
      </w:r>
    </w:p>
    <w:p>
      <w:pPr>
        <w:spacing w:line="408" w:lineRule="auto" w:before="120"/>
        <w:ind w:left="312" w:right="3744" w:firstLine="3529"/>
        <w:jc w:val="left"/>
        <w:rPr>
          <w:b/>
          <w:sz w:val="24"/>
        </w:rPr>
      </w:pPr>
      <w:r>
        <w:rPr>
          <w:b/>
          <w:color w:val="212121"/>
          <w:sz w:val="24"/>
        </w:rPr>
        <w:t>主題 </w:t>
      </w:r>
      <w:r>
        <w:rPr>
          <w:rFonts w:ascii="Times New Roman" w:eastAsia="Times New Roman"/>
          <w:b/>
          <w:color w:val="212121"/>
          <w:sz w:val="24"/>
        </w:rPr>
        <w:t>2</w:t>
      </w:r>
      <w:r>
        <w:rPr>
          <w:b/>
          <w:color w:val="212121"/>
          <w:sz w:val="24"/>
        </w:rPr>
        <w:t>：升學及就業理論理論二：舒伯（</w:t>
      </w:r>
      <w:r>
        <w:rPr>
          <w:rFonts w:ascii="Times New Roman" w:eastAsia="Times New Roman"/>
          <w:b/>
          <w:color w:val="212121"/>
          <w:sz w:val="24"/>
        </w:rPr>
        <w:t>Donald E. Super</w:t>
      </w:r>
      <w:r>
        <w:rPr>
          <w:b/>
          <w:color w:val="212121"/>
          <w:sz w:val="24"/>
        </w:rPr>
        <w:t>）生命彩虹發展導論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058"/>
      </w:tblGrid>
      <w:tr>
        <w:trPr>
          <w:trHeight w:val="587" w:hRule="exact"/>
        </w:trPr>
        <w:tc>
          <w:tcPr>
            <w:tcW w:w="1476" w:type="dxa"/>
          </w:tcPr>
          <w:p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所需時間：</w:t>
            </w:r>
          </w:p>
        </w:tc>
        <w:tc>
          <w:tcPr>
            <w:tcW w:w="1058" w:type="dxa"/>
          </w:tcPr>
          <w:p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rFonts w:ascii="Times New Roman" w:eastAsia="Times New Roman"/>
                <w:color w:val="212121"/>
                <w:sz w:val="24"/>
              </w:rPr>
              <w:t>15 </w:t>
            </w:r>
            <w:r>
              <w:rPr>
                <w:color w:val="212121"/>
                <w:sz w:val="24"/>
              </w:rPr>
              <w:t>分鐘</w:t>
            </w:r>
          </w:p>
        </w:tc>
      </w:tr>
      <w:tr>
        <w:trPr>
          <w:trHeight w:val="561" w:hRule="exact"/>
        </w:trPr>
        <w:tc>
          <w:tcPr>
            <w:tcW w:w="1476" w:type="dxa"/>
          </w:tcPr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內容：</w:t>
            </w:r>
          </w:p>
        </w:tc>
        <w:tc>
          <w:tcPr>
            <w:tcW w:w="1058" w:type="dxa"/>
          </w:tcPr>
          <w:p>
            <w:pPr/>
          </w:p>
        </w:tc>
      </w:tr>
    </w:tbl>
    <w:p>
      <w:pPr>
        <w:pStyle w:val="BodyText"/>
        <w:spacing w:before="8"/>
        <w:rPr>
          <w:b/>
          <w:sz w:val="13"/>
        </w:rPr>
      </w:pPr>
    </w:p>
    <w:p>
      <w:pPr>
        <w:pStyle w:val="BodyText"/>
        <w:spacing w:line="410" w:lineRule="auto" w:before="48"/>
        <w:ind w:left="312" w:right="230" w:firstLine="658"/>
        <w:jc w:val="both"/>
      </w:pPr>
      <w:r>
        <w:rPr/>
        <w:t>教師為非華語學生提供生涯規劃教育，參考舒伯理論之第一階段（</w:t>
      </w:r>
      <w:r>
        <w:rPr>
          <w:rFonts w:ascii="Times New Roman" w:eastAsia="Times New Roman"/>
        </w:rPr>
        <w:t>1-14 </w:t>
      </w:r>
      <w:r>
        <w:rPr/>
        <w:t>歲）及第二階</w:t>
      </w:r>
      <w:r>
        <w:rPr>
          <w:spacing w:val="-32"/>
        </w:rPr>
        <w:t>段</w:t>
      </w:r>
      <w:r>
        <w:rPr/>
        <w:t>（</w:t>
      </w:r>
      <w:r>
        <w:rPr>
          <w:rFonts w:ascii="Times New Roman" w:eastAsia="Times New Roman"/>
        </w:rPr>
        <w:t>15-24 </w:t>
      </w:r>
      <w:r>
        <w:rPr/>
        <w:t>歲</w:t>
      </w:r>
      <w:r>
        <w:rPr>
          <w:spacing w:val="-32"/>
        </w:rPr>
        <w:t>）</w:t>
      </w:r>
      <w:r>
        <w:rPr>
          <w:spacing w:val="-10"/>
        </w:rPr>
        <w:t>年齡組群的特性，他們是處於成長階段及探索階段。藉此，教師計劃內容時， 以認識工作的意義、實現自我及提供一系列探索學習的機會為重點，以配合其年齡階段的發展和需要。</w:t>
      </w:r>
    </w:p>
    <w:p>
      <w:pPr>
        <w:pStyle w:val="Heading1"/>
        <w:spacing w:before="3" w:after="54"/>
        <w:ind w:left="312" w:firstLine="0"/>
      </w:pPr>
      <w:r>
        <w:rPr/>
        <w:pict>
          <v:shape style="position:absolute;margin-left:0pt;margin-top:525.522461pt;width:75.6pt;height:14.5pt;mso-position-horizontal-relative:page;mso-position-vertical-relative:paragraph;z-index:-9544" coordorigin="0,10510" coordsize="1512,290" path="m5466,2624l5678,2412,6978,2412,6978,2490,6766,2702,5466,2702,5466,2624xm5466,2624l6766,2624,6978,241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0pt;margin-top:525.522461pt;width:75.6pt;height:14.5pt;mso-position-horizontal-relative:page;mso-position-vertical-relative:paragraph;z-index:-9520" coordorigin="0,10510" coordsize="1512,290" path="m7231,1904l7443,1692,8743,1692,8743,1770,8531,1982,7231,1982,7231,1904xm7231,1904l8531,1904,8743,169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圖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8"/>
        </w:rPr>
        <w:t> </w:t>
      </w:r>
      <w:r>
        <w:rPr/>
        <w:t>生命彩虹發展導論</w:t>
      </w:r>
    </w:p>
    <w:tbl>
      <w:tblPr>
        <w:tblW w:w="0" w:type="auto"/>
        <w:jc w:val="left"/>
        <w:tblInd w:w="3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2142"/>
        <w:gridCol w:w="1767"/>
        <w:gridCol w:w="1764"/>
        <w:gridCol w:w="2314"/>
      </w:tblGrid>
      <w:tr>
        <w:trPr>
          <w:trHeight w:val="1603" w:hRule="exact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</w:tcBorders>
          </w:tcPr>
          <w:p>
            <w:pPr/>
          </w:p>
        </w:tc>
        <w:tc>
          <w:tcPr>
            <w:tcW w:w="2142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767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76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750" w:right="-38" w:hanging="8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45 </w:t>
            </w:r>
            <w:r>
              <w:rPr>
                <w:sz w:val="24"/>
              </w:rPr>
              <w:t>至 </w:t>
            </w:r>
            <w:r>
              <w:rPr>
                <w:rFonts w:ascii="Times New Roman" w:eastAsia="Times New Roman"/>
                <w:sz w:val="24"/>
              </w:rPr>
              <w:t>64</w:t>
            </w:r>
            <w:r>
              <w:rPr>
                <w:rFonts w:ascii="Times New Roman" w:eastAsia="Times New Roman"/>
                <w:spacing w:val="-3"/>
                <w:sz w:val="24"/>
              </w:rPr>
              <w:t> </w:t>
            </w:r>
            <w:r>
              <w:rPr>
                <w:sz w:val="24"/>
              </w:rPr>
              <w:t>歲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12" w:lineRule="exact" w:before="1"/>
              <w:ind w:left="750" w:right="34"/>
              <w:rPr>
                <w:b/>
                <w:sz w:val="24"/>
              </w:rPr>
            </w:pPr>
            <w:r>
              <w:rPr>
                <w:sz w:val="24"/>
              </w:rPr>
              <w:t>第四階段</w:t>
            </w:r>
            <w:r>
              <w:rPr>
                <w:b/>
                <w:w w:val="95"/>
                <w:sz w:val="24"/>
              </w:rPr>
              <w:t>維持階段</w:t>
            </w:r>
          </w:p>
        </w:tc>
        <w:tc>
          <w:tcPr>
            <w:tcW w:w="23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after="24"/>
              <w:ind w:left="871" w:hanging="3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64 </w:t>
            </w:r>
            <w:r>
              <w:rPr>
                <w:sz w:val="24"/>
              </w:rPr>
              <w:t>歲以上</w:t>
            </w:r>
          </w:p>
          <w:p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pict>
                <v:group style="width:76.350pt;height:15.25pt;mso-position-horizontal-relative:char;mso-position-vertical-relative:line" coordorigin="0,0" coordsize="1527,305">
                  <v:shape style="position:absolute;left:8;top:8;width:1512;height:290" coordorigin="8,8" coordsize="1512,290" path="m8,220l220,8,1520,8,1520,85,1307,298,8,298,8,220xe" filled="false" stroked="true" strokeweight=".75pt" strokecolor="#000000">
                    <v:path arrowok="t"/>
                    <v:stroke dashstyle="solid"/>
                  </v:shape>
                  <v:shape style="position:absolute;left:8;top:8;width:1512;height:213" coordorigin="8,8" coordsize="1512,213" path="m8,220l1307,220,1520,8e" filled="false" stroked="true" strokeweight=".75pt" strokecolor="#000000">
                    <v:path arrowok="t"/>
                    <v:stroke dashstyle="solid"/>
                  </v:shape>
                  <v:line style="position:absolute" from="1307,220" to="1307,297" stroked="true" strokeweight=".75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line="303" w:lineRule="exact"/>
              <w:ind w:left="871" w:right="458"/>
              <w:rPr>
                <w:b/>
                <w:sz w:val="24"/>
              </w:rPr>
            </w:pPr>
            <w:r>
              <w:rPr>
                <w:sz w:val="24"/>
              </w:rPr>
              <w:t>第五階段</w:t>
            </w:r>
            <w:r>
              <w:rPr>
                <w:b/>
                <w:w w:val="95"/>
                <w:sz w:val="24"/>
              </w:rPr>
              <w:t>衰退階段</w:t>
            </w:r>
          </w:p>
        </w:tc>
      </w:tr>
      <w:tr>
        <w:trPr>
          <w:trHeight w:val="720" w:hRule="exact"/>
        </w:trPr>
        <w:tc>
          <w:tcPr>
            <w:tcW w:w="1761" w:type="dxa"/>
            <w:tcBorders>
              <w:left w:val="single" w:sz="4" w:space="0" w:color="000000"/>
            </w:tcBorders>
          </w:tcPr>
          <w:p>
            <w:pPr/>
          </w:p>
        </w:tc>
        <w:tc>
          <w:tcPr>
            <w:tcW w:w="2142" w:type="dxa"/>
          </w:tcPr>
          <w:p>
            <w:pPr/>
          </w:p>
        </w:tc>
        <w:tc>
          <w:tcPr>
            <w:tcW w:w="1767" w:type="dxa"/>
            <w:vMerge w:val="restart"/>
          </w:tcPr>
          <w:p>
            <w:pPr>
              <w:pStyle w:val="TableParagraph"/>
              <w:spacing w:before="80"/>
              <w:ind w:left="750" w:right="-36" w:hanging="8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25 </w:t>
            </w:r>
            <w:r>
              <w:rPr>
                <w:sz w:val="24"/>
              </w:rPr>
              <w:t>至 </w:t>
            </w:r>
            <w:r>
              <w:rPr>
                <w:rFonts w:ascii="Times New Roman" w:eastAsia="Times New Roman"/>
                <w:sz w:val="24"/>
              </w:rPr>
              <w:t>44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歲</w:t>
            </w:r>
          </w:p>
          <w:p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750" w:right="36"/>
              <w:rPr>
                <w:b/>
                <w:sz w:val="24"/>
              </w:rPr>
            </w:pPr>
            <w:r>
              <w:rPr>
                <w:sz w:val="24"/>
              </w:rPr>
              <w:t>第三階段</w:t>
            </w:r>
            <w:r>
              <w:rPr>
                <w:b/>
                <w:w w:val="95"/>
                <w:sz w:val="24"/>
              </w:rPr>
              <w:t>建立階段</w:t>
            </w:r>
          </w:p>
        </w:tc>
        <w:tc>
          <w:tcPr>
            <w:tcW w:w="1764" w:type="dxa"/>
            <w:vMerge/>
          </w:tcPr>
          <w:p>
            <w:pPr/>
          </w:p>
        </w:tc>
        <w:tc>
          <w:tcPr>
            <w:tcW w:w="2314" w:type="dxa"/>
            <w:tcBorders>
              <w:right w:val="single" w:sz="4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1761" w:type="dxa"/>
            <w:tcBorders>
              <w:left w:val="single" w:sz="4" w:space="0" w:color="000000"/>
            </w:tcBorders>
          </w:tcPr>
          <w:p>
            <w:pPr/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before="80"/>
              <w:ind w:left="1091" w:hanging="8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 </w:t>
            </w:r>
            <w:r>
              <w:rPr>
                <w:sz w:val="24"/>
              </w:rPr>
              <w:t>至 </w:t>
            </w:r>
            <w:r>
              <w:rPr>
                <w:rFonts w:ascii="Times New Roman" w:eastAsia="Times New Roman"/>
                <w:sz w:val="24"/>
              </w:rPr>
              <w:t>24</w:t>
            </w:r>
            <w:r>
              <w:rPr>
                <w:rFonts w:ascii="Times New Roman" w:eastAsia="Times New Roman"/>
                <w:spacing w:val="-3"/>
                <w:sz w:val="24"/>
              </w:rPr>
              <w:t> </w:t>
            </w:r>
            <w:r>
              <w:rPr>
                <w:sz w:val="24"/>
              </w:rPr>
              <w:t>歲</w:t>
            </w:r>
          </w:p>
          <w:p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12" w:lineRule="exact" w:before="1"/>
              <w:ind w:left="1091" w:right="71"/>
              <w:rPr>
                <w:b/>
                <w:sz w:val="24"/>
              </w:rPr>
            </w:pPr>
            <w:r>
              <w:rPr>
                <w:sz w:val="24"/>
              </w:rPr>
              <w:t>第二階段</w:t>
            </w:r>
            <w:r>
              <w:rPr>
                <w:b/>
                <w:w w:val="95"/>
                <w:sz w:val="24"/>
              </w:rPr>
              <w:t>探索階段</w:t>
            </w:r>
          </w:p>
        </w:tc>
        <w:tc>
          <w:tcPr>
            <w:tcW w:w="1767" w:type="dxa"/>
            <w:vMerge/>
          </w:tcPr>
          <w:p>
            <w:pPr/>
          </w:p>
        </w:tc>
        <w:tc>
          <w:tcPr>
            <w:tcW w:w="1764" w:type="dxa"/>
          </w:tcPr>
          <w:p>
            <w:pPr/>
          </w:p>
        </w:tc>
        <w:tc>
          <w:tcPr>
            <w:tcW w:w="2314" w:type="dxa"/>
            <w:tcBorders>
              <w:right w:val="single" w:sz="4" w:space="0" w:color="000000"/>
            </w:tcBorders>
          </w:tcPr>
          <w:p>
            <w:pPr/>
          </w:p>
        </w:tc>
      </w:tr>
      <w:tr>
        <w:trPr>
          <w:trHeight w:val="1667" w:hRule="exact"/>
        </w:trPr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739" w:hanging="2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 </w:t>
            </w:r>
            <w:r>
              <w:rPr>
                <w:sz w:val="24"/>
              </w:rPr>
              <w:t>至 </w:t>
            </w:r>
            <w:r>
              <w:rPr>
                <w:rFonts w:ascii="Times New Roman" w:eastAsia="Times New Roman"/>
                <w:sz w:val="24"/>
              </w:rPr>
              <w:t>14 </w:t>
            </w:r>
            <w:r>
              <w:rPr>
                <w:sz w:val="24"/>
              </w:rPr>
              <w:t>歲</w:t>
            </w:r>
          </w:p>
          <w:p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12" w:lineRule="exact"/>
              <w:ind w:left="739" w:right="37"/>
              <w:rPr>
                <w:b/>
                <w:sz w:val="24"/>
              </w:rPr>
            </w:pPr>
            <w:r>
              <w:rPr>
                <w:sz w:val="24"/>
              </w:rPr>
              <w:t>第一階段</w:t>
            </w:r>
            <w:r>
              <w:rPr>
                <w:b/>
                <w:w w:val="95"/>
                <w:sz w:val="24"/>
              </w:rPr>
              <w:t>成長階段</w:t>
            </w:r>
          </w:p>
        </w:tc>
        <w:tc>
          <w:tcPr>
            <w:tcW w:w="2142" w:type="dxa"/>
            <w:vMerge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1"/>
        </w:numPr>
        <w:tabs>
          <w:tab w:pos="1753" w:val="left" w:leader="none"/>
          <w:tab w:pos="1754" w:val="left" w:leader="none"/>
        </w:tabs>
        <w:spacing w:line="240" w:lineRule="auto" w:before="77" w:after="0"/>
        <w:ind w:left="1753" w:right="0" w:hanging="480"/>
        <w:jc w:val="left"/>
        <w:rPr>
          <w:b/>
          <w:sz w:val="24"/>
        </w:rPr>
      </w:pPr>
      <w:r>
        <w:rPr/>
        <w:pict>
          <v:shape style="position:absolute;margin-left:0pt;margin-top:270.842499pt;width:75.6pt;height:14.5pt;mso-position-horizontal-relative:page;mso-position-vertical-relative:paragraph;z-index:-9592" coordorigin="0,5417" coordsize="1512,290" path="m1594,-1029l1806,-1241,3106,-1241,3106,-1164,2894,-951,1594,-951,1594,-1029xm1594,-1029l2894,-1029,3106,-124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0pt;margin-top:270.842499pt;width:75.6pt;height:14.5pt;mso-position-horizontal-relative:page;mso-position-vertical-relative:paragraph;z-index:-9568" coordorigin="0,5417" coordsize="1512,290" path="m3701,-1749l3913,-1961,5213,-1961,5213,-1884,5001,-1671,3701,-1671,3701,-1749xm3701,-1749l5001,-1749,5213,-1961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w w:val="95"/>
          <w:sz w:val="24"/>
        </w:rPr>
        <w:t>成長期</w:t>
      </w:r>
    </w:p>
    <w:p>
      <w:pPr>
        <w:pStyle w:val="BodyText"/>
        <w:spacing w:line="412" w:lineRule="auto" w:before="223"/>
        <w:ind w:left="1753" w:right="234" w:firstLine="657"/>
        <w:jc w:val="both"/>
      </w:pPr>
      <w:r>
        <w:rPr/>
        <w:t>由一歲至十四歲期間，經與家庭或學校中之重要他人認同，而發展自我概念，需求與幻想為此時期最主要的特質。這個時期的主要任務是發展自我形象，產生對工作世界的正確觀念及了解工作意義。</w:t>
      </w:r>
    </w:p>
    <w:p>
      <w:pPr>
        <w:pStyle w:val="Heading1"/>
        <w:numPr>
          <w:ilvl w:val="0"/>
          <w:numId w:val="1"/>
        </w:numPr>
        <w:tabs>
          <w:tab w:pos="1753" w:val="left" w:leader="none"/>
          <w:tab w:pos="1754" w:val="left" w:leader="none"/>
        </w:tabs>
        <w:spacing w:line="240" w:lineRule="auto" w:before="53" w:after="0"/>
        <w:ind w:left="1753" w:right="0" w:hanging="480"/>
        <w:jc w:val="left"/>
      </w:pPr>
      <w:r>
        <w:rPr>
          <w:w w:val="95"/>
        </w:rPr>
        <w:t>探索期</w:t>
      </w:r>
    </w:p>
    <w:p>
      <w:pPr>
        <w:pStyle w:val="BodyText"/>
        <w:spacing w:line="412" w:lineRule="auto" w:before="223"/>
        <w:ind w:left="1753" w:right="236" w:firstLine="657"/>
        <w:jc w:val="both"/>
      </w:pPr>
      <w:r>
        <w:rPr/>
        <w:t>由十五至二十四歲期間，從學校或工作經驗中，進行自我探索及職業探索。這個時期是透過知識與生活經驗的學習，進行自我檢討，嘗試發掘自己的職業興趣，並做出暫時性的職業選擇。</w:t>
      </w:r>
    </w:p>
    <w:p>
      <w:pPr>
        <w:spacing w:after="0" w:line="412" w:lineRule="auto"/>
        <w:jc w:val="both"/>
        <w:sectPr>
          <w:pgSz w:w="11910" w:h="16840"/>
          <w:pgMar w:top="680" w:bottom="280" w:left="820" w:right="900"/>
        </w:sectPr>
      </w:pPr>
    </w:p>
    <w:p>
      <w:pPr>
        <w:pStyle w:val="Heading1"/>
        <w:numPr>
          <w:ilvl w:val="0"/>
          <w:numId w:val="1"/>
        </w:numPr>
        <w:tabs>
          <w:tab w:pos="1753" w:val="left" w:leader="none"/>
          <w:tab w:pos="1754" w:val="left" w:leader="none"/>
        </w:tabs>
        <w:spacing w:line="240" w:lineRule="auto" w:before="26" w:after="0"/>
        <w:ind w:left="1753" w:right="0" w:hanging="480"/>
        <w:jc w:val="left"/>
      </w:pPr>
      <w:r>
        <w:rPr>
          <w:w w:val="95"/>
        </w:rPr>
        <w:t>建立期</w:t>
      </w:r>
    </w:p>
    <w:p>
      <w:pPr>
        <w:pStyle w:val="BodyText"/>
        <w:spacing w:line="412" w:lineRule="auto" w:before="222"/>
        <w:ind w:left="1753" w:right="316" w:firstLine="657"/>
        <w:jc w:val="both"/>
      </w:pPr>
      <w:r>
        <w:rPr/>
        <w:t>由二十五至四十四歲之間，藉由不斷的嘗試及錯誤，以確定職業的選擇是否正確，逐步建立穩固的職業地位。這個時期的重點發展是統整及穩固。</w:t>
      </w:r>
    </w:p>
    <w:p>
      <w:pPr>
        <w:pStyle w:val="Heading1"/>
        <w:numPr>
          <w:ilvl w:val="0"/>
          <w:numId w:val="1"/>
        </w:numPr>
        <w:tabs>
          <w:tab w:pos="1753" w:val="left" w:leader="none"/>
          <w:tab w:pos="1754" w:val="left" w:leader="none"/>
        </w:tabs>
        <w:spacing w:line="240" w:lineRule="auto" w:before="52" w:after="0"/>
        <w:ind w:left="1753" w:right="0" w:hanging="480"/>
        <w:jc w:val="left"/>
      </w:pPr>
      <w:r>
        <w:rPr>
          <w:w w:val="95"/>
        </w:rPr>
        <w:t>維持期</w:t>
      </w:r>
    </w:p>
    <w:p>
      <w:pPr>
        <w:pStyle w:val="BodyText"/>
        <w:spacing w:line="412" w:lineRule="auto" w:before="222"/>
        <w:ind w:left="1753" w:right="306" w:firstLine="657"/>
        <w:jc w:val="both"/>
      </w:pPr>
      <w:r>
        <w:rPr/>
        <w:t>由四十五至六十四歲之間，個人已逐漸在職場上取得相當的地位，這個時期的重點發展為維持既有的地位與成就。</w:t>
      </w:r>
    </w:p>
    <w:p>
      <w:pPr>
        <w:pStyle w:val="Heading1"/>
        <w:numPr>
          <w:ilvl w:val="0"/>
          <w:numId w:val="1"/>
        </w:numPr>
        <w:tabs>
          <w:tab w:pos="1753" w:val="left" w:leader="none"/>
          <w:tab w:pos="1754" w:val="left" w:leader="none"/>
        </w:tabs>
        <w:spacing w:line="240" w:lineRule="auto" w:before="52" w:after="0"/>
        <w:ind w:left="1753" w:right="0" w:hanging="480"/>
        <w:jc w:val="left"/>
      </w:pPr>
      <w:r>
        <w:rPr>
          <w:w w:val="95"/>
        </w:rPr>
        <w:t>衰退期</w:t>
      </w:r>
    </w:p>
    <w:p>
      <w:pPr>
        <w:pStyle w:val="BodyText"/>
        <w:spacing w:line="412" w:lineRule="auto" w:before="222"/>
        <w:ind w:left="1753" w:right="314" w:firstLine="657"/>
        <w:jc w:val="both"/>
      </w:pPr>
      <w:r>
        <w:rPr/>
        <w:t>由六十五歲以上，身心狀況逐漸衰退，發展的目標需尋求不同的方式， 滿足個人需要。這個時期的重點發展為發展工作之外的新的角色，維持生命的活力，開拓新的生活。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8561"/>
      </w:tblGrid>
      <w:tr>
        <w:trPr>
          <w:trHeight w:val="1334" w:hRule="exact"/>
        </w:trPr>
        <w:tc>
          <w:tcPr>
            <w:tcW w:w="1472" w:type="dxa"/>
          </w:tcPr>
          <w:p>
            <w:pPr>
              <w:pStyle w:val="TableParagraph"/>
              <w:spacing w:line="250" w:lineRule="exact"/>
              <w:ind w:left="20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參考書目：</w:t>
            </w:r>
          </w:p>
        </w:tc>
        <w:tc>
          <w:tcPr>
            <w:tcW w:w="8561" w:type="dxa"/>
          </w:tcPr>
          <w:p>
            <w:pPr>
              <w:pStyle w:val="TableParagraph"/>
              <w:spacing w:line="470" w:lineRule="auto"/>
              <w:ind w:left="79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Sharf, R. S. (2010). Applying Career Development Theory to Counseling. Brooks/Cole.</w:t>
            </w:r>
          </w:p>
          <w:p>
            <w:pPr>
              <w:pStyle w:val="TableParagraph"/>
              <w:spacing w:line="273" w:lineRule="exact" w:before="10"/>
              <w:ind w:left="79"/>
              <w:rPr>
                <w:sz w:val="24"/>
              </w:rPr>
            </w:pPr>
            <w:r>
              <w:rPr>
                <w:sz w:val="24"/>
              </w:rPr>
              <w:t>吳芝儀</w:t>
            </w:r>
            <w:r>
              <w:rPr>
                <w:rFonts w:ascii="Times New Roman" w:eastAsia="Times New Roman"/>
                <w:sz w:val="24"/>
              </w:rPr>
              <w:t>(2000)</w:t>
            </w:r>
            <w:r>
              <w:rPr>
                <w:sz w:val="24"/>
              </w:rPr>
              <w:t>生涯探索與規劃：我的生涯手冊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740" w:bottom="280" w:left="820" w:right="820"/>
        </w:sectPr>
      </w:pPr>
    </w:p>
    <w:p>
      <w:pPr>
        <w:pStyle w:val="Heading1"/>
        <w:spacing w:before="12"/>
        <w:ind w:left="0" w:right="276" w:firstLine="0"/>
        <w:jc w:val="right"/>
      </w:pPr>
      <w:r>
        <w:rPr>
          <w:w w:val="95"/>
        </w:rPr>
        <w:t>附件七</w:t>
      </w:r>
    </w:p>
    <w:p>
      <w:pPr>
        <w:spacing w:line="408" w:lineRule="auto" w:before="120"/>
        <w:ind w:left="312" w:right="3724" w:firstLine="3529"/>
        <w:jc w:val="left"/>
        <w:rPr>
          <w:b/>
          <w:sz w:val="24"/>
        </w:rPr>
      </w:pPr>
      <w:r>
        <w:rPr>
          <w:b/>
          <w:color w:val="212121"/>
          <w:sz w:val="24"/>
        </w:rPr>
        <w:t>主題 </w:t>
      </w:r>
      <w:r>
        <w:rPr>
          <w:rFonts w:ascii="Times New Roman" w:eastAsia="Times New Roman"/>
          <w:b/>
          <w:color w:val="212121"/>
          <w:sz w:val="24"/>
        </w:rPr>
        <w:t>2</w:t>
      </w:r>
      <w:r>
        <w:rPr>
          <w:b/>
          <w:color w:val="212121"/>
          <w:sz w:val="24"/>
        </w:rPr>
        <w:t>：升學及就業理論理論三：霍爾蘭（</w:t>
      </w:r>
      <w:r>
        <w:rPr>
          <w:rFonts w:ascii="Times New Roman" w:eastAsia="Times New Roman"/>
          <w:b/>
          <w:color w:val="212121"/>
          <w:sz w:val="24"/>
        </w:rPr>
        <w:t>John Holland</w:t>
      </w:r>
      <w:r>
        <w:rPr>
          <w:b/>
          <w:color w:val="212121"/>
          <w:sz w:val="24"/>
        </w:rPr>
        <w:t>）職業類型論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058"/>
      </w:tblGrid>
      <w:tr>
        <w:trPr>
          <w:trHeight w:val="587" w:hRule="exact"/>
        </w:trPr>
        <w:tc>
          <w:tcPr>
            <w:tcW w:w="1476" w:type="dxa"/>
          </w:tcPr>
          <w:p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所需時間：</w:t>
            </w:r>
          </w:p>
        </w:tc>
        <w:tc>
          <w:tcPr>
            <w:tcW w:w="1058" w:type="dxa"/>
          </w:tcPr>
          <w:p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rFonts w:ascii="Times New Roman" w:eastAsia="Times New Roman"/>
                <w:color w:val="212121"/>
                <w:sz w:val="24"/>
              </w:rPr>
              <w:t>15 </w:t>
            </w:r>
            <w:r>
              <w:rPr>
                <w:color w:val="212121"/>
                <w:sz w:val="24"/>
              </w:rPr>
              <w:t>分鐘</w:t>
            </w:r>
          </w:p>
        </w:tc>
      </w:tr>
      <w:tr>
        <w:trPr>
          <w:trHeight w:val="561" w:hRule="exact"/>
        </w:trPr>
        <w:tc>
          <w:tcPr>
            <w:tcW w:w="1476" w:type="dxa"/>
          </w:tcPr>
          <w:p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內容：</w:t>
            </w:r>
          </w:p>
        </w:tc>
        <w:tc>
          <w:tcPr>
            <w:tcW w:w="1058" w:type="dxa"/>
          </w:tcPr>
          <w:p>
            <w:pPr/>
          </w:p>
        </w:tc>
      </w:tr>
    </w:tbl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412" w:lineRule="auto" w:before="26"/>
        <w:ind w:left="312" w:right="208" w:firstLine="658"/>
        <w:jc w:val="both"/>
      </w:pPr>
      <w:r>
        <w:rPr/>
        <w:t>霍爾蘭職業類型論及其分析工具廣泛地於國際使用，適合不同多元文化人口。鑑於本計劃的學生之文化背景極為多元化，故此霍爾蘭職業類型論及其分析工具，極為配合教師提供活動的需要。霍爾蘭職業類型論有六種分類，當中包實務型、分析型、藝術型、服務型、管理型及常規型。按照學生的職涯個性、能力及技巧的自評，分析工具可協助學生檢察出個人職業類型的傾向或偏好。</w:t>
      </w:r>
    </w:p>
    <w:p>
      <w:pPr>
        <w:pStyle w:val="Heading1"/>
        <w:ind w:left="312" w:firstLine="0"/>
      </w:pPr>
      <w:r>
        <w:rPr/>
        <w:pict>
          <v:group style="position:absolute;margin-left:56.389999pt;margin-top:18.342514pt;width:487.95pt;height:253.5pt;mso-position-horizontal-relative:page;mso-position-vertical-relative:paragraph;z-index:1360;mso-wrap-distance-left:0;mso-wrap-distance-right:0" coordorigin="1128,367" coordsize="9759,5070">
            <v:line style="position:absolute" from="1138,377" to="10876,377" stroked="true" strokeweight=".48pt" strokecolor="#000000">
              <v:stroke dashstyle="solid"/>
            </v:line>
            <v:line style="position:absolute" from="1133,372" to="1133,5431" stroked="true" strokeweight=".48pt" strokecolor="#000000">
              <v:stroke dashstyle="solid"/>
            </v:line>
            <v:line style="position:absolute" from="1138,5427" to="10876,5427" stroked="true" strokeweight=".48pt" strokecolor="#000000">
              <v:stroke dashstyle="solid"/>
            </v:line>
            <v:line style="position:absolute" from="10881,372" to="10881,5431" stroked="true" strokeweight=".48pt" strokecolor="#000000">
              <v:stroke dashstyle="solid"/>
            </v:line>
            <v:shape style="position:absolute;left:5287;top:3726;width:1403;height:1210" coordorigin="5287,3726" coordsize="1403,1210" path="m5287,4331l5527,3726,6450,3726,6690,4331,6450,4936,5527,4936,5287,4331xe" filled="false" stroked="true" strokeweight="1pt" strokecolor="#000000">
              <v:path arrowok="t"/>
              <v:stroke dashstyle="solid"/>
            </v:shape>
            <v:shape style="position:absolute;left:5287;top:2286;width:1403;height:1210" coordorigin="5287,2286" coordsize="1403,1210" path="m5287,2891l5527,2286,6450,2286,6690,2891,6450,3496,5527,3496,5287,2891xe" filled="false" stroked="true" strokeweight="1pt" strokecolor="#000000">
              <v:path arrowok="t"/>
              <v:stroke dashstyle="solid"/>
            </v:shape>
            <v:shape style="position:absolute;left:5287;top:846;width:1403;height:1210" coordorigin="5287,846" coordsize="1403,1210" path="m5287,1451l5527,846,6450,846,6690,1451,6450,2056,5527,2056,5287,1451xe" filled="false" stroked="true" strokeweight="1pt" strokecolor="#000000">
              <v:path arrowok="t"/>
              <v:stroke dashstyle="solid"/>
            </v:shape>
            <v:shape style="position:absolute;left:6565;top:2969;width:1403;height:1210" coordorigin="6565,2969" coordsize="1403,1210" path="m7728,2969l6805,2969,6565,3574,6805,4179,7728,4179,7968,3574,7728,2969xe" filled="true" fillcolor="#ffffff" stroked="false">
              <v:path arrowok="t"/>
              <v:fill type="solid"/>
            </v:shape>
            <v:shape style="position:absolute;left:6565;top:2969;width:1403;height:1210" coordorigin="6565,2969" coordsize="1403,1210" path="m6565,3574l6805,2969,7728,2969,7968,3574,7728,4179,6805,4179,6565,3574xe" filled="false" stroked="true" strokeweight="1pt" strokecolor="#000000">
              <v:path arrowok="t"/>
              <v:stroke dashstyle="solid"/>
            </v:shape>
            <v:shape style="position:absolute;left:6773;top:3222;width:989;height:706" type="#_x0000_t75" stroked="false">
              <v:imagedata r:id="rId5" o:title=""/>
            </v:shape>
            <v:shape style="position:absolute;left:6554;top:1551;width:1403;height:1210" coordorigin="6554,1551" coordsize="1403,1210" path="m7717,1551l6794,1551,6554,2156,6794,2761,7717,2761,7957,2156,7717,1551xe" filled="true" fillcolor="#ffffff" stroked="false">
              <v:path arrowok="t"/>
              <v:fill type="solid"/>
            </v:shape>
            <v:shape style="position:absolute;left:6554;top:1551;width:1403;height:1210" coordorigin="6554,1551" coordsize="1403,1210" path="m6554,2156l6794,1551,7717,1551,7957,2156,7717,2761,6794,2761,6554,2156xe" filled="false" stroked="true" strokeweight="1.0pt" strokecolor="#000000">
              <v:path arrowok="t"/>
              <v:stroke dashstyle="solid"/>
            </v:shape>
            <v:shape style="position:absolute;left:6761;top:1804;width:989;height:706" type="#_x0000_t75" stroked="false">
              <v:imagedata r:id="rId6" o:title=""/>
            </v:shape>
            <v:shape style="position:absolute;left:3986;top:2948;width:1403;height:1210" coordorigin="3986,2948" coordsize="1403,1210" path="m5149,2948l4226,2948,3986,3553,4226,4158,5149,4158,5389,3553,5149,2948xe" filled="true" fillcolor="#ffffff" stroked="false">
              <v:path arrowok="t"/>
              <v:fill type="solid"/>
            </v:shape>
            <v:shape style="position:absolute;left:3986;top:2948;width:1403;height:1210" coordorigin="3986,2948" coordsize="1403,1210" path="m3986,3553l4226,2948,5149,2948,5389,3553,5149,4158,4226,4158,3986,3553xe" filled="false" stroked="true" strokeweight="1.0pt" strokecolor="#000000">
              <v:path arrowok="t"/>
              <v:stroke dashstyle="solid"/>
            </v:shape>
            <v:shape style="position:absolute;left:4193;top:3200;width:989;height:706" type="#_x0000_t75" stroked="false">
              <v:imagedata r:id="rId6" o:title=""/>
            </v:shape>
            <v:shape style="position:absolute;left:4040;top:1540;width:1403;height:1210" coordorigin="4040,1540" coordsize="1403,1210" path="m5203,1540l4280,1540,4040,2145,4280,2750,5203,2750,5443,2145,5203,1540xe" filled="true" fillcolor="#ffffff" stroked="false">
              <v:path arrowok="t"/>
              <v:fill type="solid"/>
            </v:shape>
            <v:shape style="position:absolute;left:4040;top:1540;width:1403;height:1210" coordorigin="4040,1540" coordsize="1403,1210" path="m4040,2145l4280,1540,5203,1540,5443,2145,5203,2750,4280,2750,4040,2145xe" filled="false" stroked="true" strokeweight="1.0pt" strokecolor="#000000">
              <v:path arrowok="t"/>
              <v:stroke dashstyle="solid"/>
            </v:shape>
            <v:shape style="position:absolute;left:4248;top:1792;width:989;height:706" type="#_x0000_t75" stroked="false">
              <v:imagedata r:id="rId6" o:title=""/>
            </v:shape>
            <v:shape style="position:absolute;left:5689;top:1350;width:6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實務型</w:t>
                    </w:r>
                  </w:p>
                </w:txbxContent>
              </v:textbox>
              <w10:wrap type="none"/>
            </v:shape>
            <v:shape style="position:absolute;left:4443;top:2044;width:6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常規型</w:t>
                    </w:r>
                  </w:p>
                </w:txbxContent>
              </v:textbox>
              <w10:wrap type="none"/>
            </v:shape>
            <v:shape style="position:absolute;left:6957;top:2058;width:6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分析型</w:t>
                    </w:r>
                  </w:p>
                </w:txbxContent>
              </v:textbox>
              <w10:wrap type="none"/>
            </v:shape>
            <v:shape style="position:absolute;left:5509;top:2616;width:980;height:55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3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霍爾蘭</w:t>
                    </w:r>
                  </w:p>
                  <w:p>
                    <w:pPr>
                      <w:spacing w:line="312" w:lineRule="exact" w:before="0"/>
                      <w:ind w:left="4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職業類型</w:t>
                    </w:r>
                  </w:p>
                </w:txbxContent>
              </v:textbox>
              <w10:wrap type="none"/>
            </v:shape>
            <v:shape style="position:absolute;left:4388;top:3455;width:6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管理型</w:t>
                    </w:r>
                  </w:p>
                </w:txbxContent>
              </v:textbox>
              <w10:wrap type="none"/>
            </v:shape>
            <v:shape style="position:absolute;left:6969;top:3477;width:6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藝術型</w:t>
                    </w:r>
                  </w:p>
                </w:txbxContent>
              </v:textbox>
              <w10:wrap type="none"/>
            </v:shape>
            <v:shape style="position:absolute;left:5689;top:4230;width:6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服務型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圖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57"/>
        </w:rPr>
        <w:t> </w:t>
      </w:r>
      <w:r>
        <w:rPr/>
        <w:t>霍爾蘭職業類型論（六種分類）</w:t>
      </w:r>
    </w:p>
    <w:p>
      <w:pPr>
        <w:spacing w:after="0"/>
        <w:sectPr>
          <w:pgSz w:w="11910" w:h="16840"/>
          <w:pgMar w:top="680" w:bottom="280" w:left="820" w:right="920"/>
        </w:sectPr>
      </w:pPr>
    </w:p>
    <w:p>
      <w:pPr>
        <w:pStyle w:val="BodyText"/>
        <w:spacing w:before="11" w:after="36"/>
        <w:ind w:left="212"/>
      </w:pPr>
      <w:r>
        <w:rPr/>
        <w:t>霍爾蘭職業類型詳述如下：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3118"/>
        <w:gridCol w:w="5475"/>
      </w:tblGrid>
      <w:tr>
        <w:trPr>
          <w:trHeight w:val="372" w:hRule="exact"/>
        </w:trPr>
        <w:tc>
          <w:tcPr>
            <w:tcW w:w="1102" w:type="dxa"/>
          </w:tcPr>
          <w:p>
            <w:pPr>
              <w:pStyle w:val="TableParagraph"/>
              <w:spacing w:line="302" w:lineRule="exact"/>
              <w:ind w:left="165" w:right="166"/>
              <w:jc w:val="center"/>
              <w:rPr>
                <w:sz w:val="24"/>
              </w:rPr>
            </w:pPr>
            <w:r>
              <w:rPr>
                <w:sz w:val="24"/>
              </w:rPr>
              <w:t>類型</w:t>
            </w:r>
          </w:p>
        </w:tc>
        <w:tc>
          <w:tcPr>
            <w:tcW w:w="3118" w:type="dxa"/>
          </w:tcPr>
          <w:p>
            <w:pPr>
              <w:pStyle w:val="TableParagraph"/>
              <w:spacing w:line="302" w:lineRule="exact"/>
              <w:ind w:left="1293" w:right="1295"/>
              <w:jc w:val="center"/>
              <w:rPr>
                <w:sz w:val="24"/>
              </w:rPr>
            </w:pPr>
            <w:r>
              <w:rPr>
                <w:sz w:val="24"/>
              </w:rPr>
              <w:t>特徵</w:t>
            </w:r>
          </w:p>
        </w:tc>
        <w:tc>
          <w:tcPr>
            <w:tcW w:w="5475" w:type="dxa"/>
          </w:tcPr>
          <w:p>
            <w:pPr>
              <w:pStyle w:val="TableParagraph"/>
              <w:spacing w:line="302" w:lineRule="exact"/>
              <w:ind w:left="2232" w:right="2232"/>
              <w:jc w:val="center"/>
              <w:rPr>
                <w:sz w:val="24"/>
              </w:rPr>
            </w:pPr>
            <w:r>
              <w:rPr>
                <w:sz w:val="24"/>
              </w:rPr>
              <w:t>人格傾向</w:t>
            </w:r>
          </w:p>
        </w:tc>
      </w:tr>
      <w:tr>
        <w:trPr>
          <w:trHeight w:val="2170" w:hRule="exact"/>
        </w:trPr>
        <w:tc>
          <w:tcPr>
            <w:tcW w:w="1102" w:type="dxa"/>
          </w:tcPr>
          <w:p>
            <w:pPr>
              <w:pStyle w:val="TableParagraph"/>
              <w:spacing w:line="300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實務型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順從、坦率、謙虛、堅毅、實際、有禮、穩健</w:t>
            </w:r>
          </w:p>
        </w:tc>
        <w:tc>
          <w:tcPr>
            <w:tcW w:w="5475" w:type="dxa"/>
          </w:tcPr>
          <w:p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）喜愛實用性的職業或情境，以從事所喜好的活動，避免社會性的職業或情境。</w:t>
            </w:r>
          </w:p>
          <w:p>
            <w:pPr>
              <w:pStyle w:val="TableParagraph"/>
              <w:spacing w:line="261" w:lineRule="auto" w:before="3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2</w:t>
            </w:r>
            <w:r>
              <w:rPr>
                <w:sz w:val="24"/>
              </w:rPr>
              <w:t>）以具體實際的能力解決工作及其他方面的問題，較缺乏人際關係方面的能力。</w:t>
            </w:r>
          </w:p>
          <w:p>
            <w:pPr>
              <w:pStyle w:val="TableParagraph"/>
              <w:spacing w:line="261" w:lineRule="auto" w:before="23"/>
              <w:rPr>
                <w:sz w:val="24"/>
              </w:rPr>
            </w:pPr>
            <w:r>
              <w:rPr>
                <w:spacing w:val="-16"/>
                <w:sz w:val="24"/>
              </w:rPr>
              <w:t>（</w:t>
            </w:r>
            <w:r>
              <w:rPr>
                <w:rFonts w:ascii="Calibri" w:eastAsia="Calibri"/>
                <w:spacing w:val="-16"/>
                <w:sz w:val="24"/>
              </w:rPr>
              <w:t>3</w:t>
            </w:r>
            <w:r>
              <w:rPr>
                <w:spacing w:val="-16"/>
                <w:sz w:val="24"/>
              </w:rPr>
              <w:t>）</w:t>
            </w:r>
            <w:r>
              <w:rPr>
                <w:spacing w:val="-4"/>
                <w:sz w:val="24"/>
              </w:rPr>
              <w:t>重視具體的事物或個人明確的特性，如金錢、權力或地位等。</w:t>
            </w:r>
          </w:p>
        </w:tc>
      </w:tr>
      <w:tr>
        <w:trPr>
          <w:trHeight w:val="2530" w:hRule="exact"/>
        </w:trPr>
        <w:tc>
          <w:tcPr>
            <w:tcW w:w="1102" w:type="dxa"/>
          </w:tcPr>
          <w:p>
            <w:pPr>
              <w:pStyle w:val="TableParagraph"/>
              <w:spacing w:line="300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分析型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分析、謹慎、批評、好奇、獨立、條理、謙遜、精確、理性、保守</w:t>
            </w:r>
          </w:p>
        </w:tc>
        <w:tc>
          <w:tcPr>
            <w:tcW w:w="5475" w:type="dxa"/>
          </w:tcPr>
          <w:p>
            <w:pPr>
              <w:pStyle w:val="TableParagraph"/>
              <w:spacing w:line="261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）喜愛研究性性質的職業或情境，避免企業型的職業或情境。</w:t>
            </w:r>
          </w:p>
          <w:p>
            <w:pPr>
              <w:pStyle w:val="TableParagraph"/>
              <w:spacing w:line="268" w:lineRule="auto" w:before="38"/>
              <w:ind w:right="97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（</w:t>
            </w:r>
            <w:r>
              <w:rPr>
                <w:rFonts w:ascii="Calibri" w:eastAsia="Calibri"/>
                <w:spacing w:val="4"/>
                <w:sz w:val="24"/>
              </w:rPr>
              <w:t>2</w:t>
            </w:r>
            <w:r>
              <w:rPr>
                <w:spacing w:val="4"/>
                <w:sz w:val="24"/>
              </w:rPr>
              <w:t>）</w:t>
            </w:r>
            <w:r>
              <w:rPr>
                <w:spacing w:val="2"/>
                <w:sz w:val="24"/>
              </w:rPr>
              <w:t>以研究的能力解決工作及其他方面的問題， </w:t>
            </w:r>
            <w:r>
              <w:rPr>
                <w:spacing w:val="-4"/>
                <w:sz w:val="24"/>
              </w:rPr>
              <w:t>亦即自覺自己好學、有自信、重視科學，但缺乏領導方面的才能。</w:t>
            </w:r>
          </w:p>
          <w:p>
            <w:pPr>
              <w:pStyle w:val="TableParagraph"/>
              <w:spacing w:line="261" w:lineRule="auto" w:before="1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3</w:t>
            </w:r>
            <w:r>
              <w:rPr>
                <w:sz w:val="24"/>
              </w:rPr>
              <w:t>）重視科學價值，擁有科學和學方面的能力， 但缺乏領導才能。</w:t>
            </w:r>
          </w:p>
        </w:tc>
      </w:tr>
      <w:tr>
        <w:trPr>
          <w:trHeight w:val="2170" w:hRule="exact"/>
        </w:trPr>
        <w:tc>
          <w:tcPr>
            <w:tcW w:w="1102" w:type="dxa"/>
          </w:tcPr>
          <w:p>
            <w:pPr>
              <w:pStyle w:val="TableParagraph"/>
              <w:spacing w:line="300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藝術型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複雜、想像、衝動、獨立、直覺、無秩序、情緒化、理想化、不順從、有創意、有表情、不重實際</w:t>
            </w:r>
          </w:p>
        </w:tc>
        <w:tc>
          <w:tcPr>
            <w:tcW w:w="5475" w:type="dxa"/>
          </w:tcPr>
          <w:p>
            <w:pPr>
              <w:pStyle w:val="TableParagraph"/>
              <w:spacing w:line="261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）喜愛藝術性的職業或情境，避免傳統型的職業或情境。</w:t>
            </w:r>
          </w:p>
          <w:p>
            <w:pPr>
              <w:pStyle w:val="TableParagraph"/>
              <w:spacing w:line="268" w:lineRule="auto" w:before="38"/>
              <w:ind w:right="97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（</w:t>
            </w:r>
            <w:r>
              <w:rPr>
                <w:rFonts w:ascii="Calibri" w:eastAsia="Calibri"/>
                <w:spacing w:val="4"/>
                <w:sz w:val="24"/>
              </w:rPr>
              <w:t>2</w:t>
            </w:r>
            <w:r>
              <w:rPr>
                <w:spacing w:val="4"/>
                <w:sz w:val="24"/>
              </w:rPr>
              <w:t>）</w:t>
            </w:r>
            <w:r>
              <w:rPr>
                <w:spacing w:val="2"/>
                <w:sz w:val="24"/>
              </w:rPr>
              <w:t>以藝術方面的能力解決工作或其他方面的問</w:t>
            </w:r>
            <w:r>
              <w:rPr>
                <w:spacing w:val="-4"/>
                <w:sz w:val="24"/>
              </w:rPr>
              <w:t>題，自覺富有表達能力、創造能力，擁有藝術與音樂方面的能力（包括表演、寫作、語言）</w:t>
            </w:r>
          </w:p>
          <w:p>
            <w:pPr>
              <w:pStyle w:val="TableParagraph"/>
              <w:spacing w:before="16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3</w:t>
            </w:r>
            <w:r>
              <w:rPr>
                <w:sz w:val="24"/>
              </w:rPr>
              <w:t>）重視審美價值與美感經驗。</w:t>
            </w:r>
          </w:p>
        </w:tc>
      </w:tr>
      <w:tr>
        <w:trPr>
          <w:trHeight w:val="1810" w:hRule="exact"/>
        </w:trPr>
        <w:tc>
          <w:tcPr>
            <w:tcW w:w="1102" w:type="dxa"/>
          </w:tcPr>
          <w:p>
            <w:pPr>
              <w:pStyle w:val="TableParagraph"/>
              <w:spacing w:line="300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服務型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合作、友善、慷慨、助人、</w:t>
            </w:r>
            <w:r>
              <w:rPr>
                <w:spacing w:val="-17"/>
                <w:sz w:val="24"/>
              </w:rPr>
              <w:t>仁慈、負責、圓滑、善社交、善解人意、說服他人、理想主義、富洞察力</w:t>
            </w:r>
          </w:p>
        </w:tc>
        <w:tc>
          <w:tcPr>
            <w:tcW w:w="5475" w:type="dxa"/>
          </w:tcPr>
          <w:p>
            <w:pPr>
              <w:pStyle w:val="TableParagraph"/>
              <w:spacing w:line="26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）喜愛社會性的職業或情境，而避免實用性的職業或情境，並以社交方面 的能力解決工作及其他方面的問題。</w:t>
            </w:r>
          </w:p>
          <w:p>
            <w:pPr>
              <w:pStyle w:val="TableParagraph"/>
              <w:spacing w:line="261" w:lineRule="auto" w:before="3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2</w:t>
            </w:r>
            <w:r>
              <w:rPr>
                <w:sz w:val="24"/>
              </w:rPr>
              <w:t>）自覺喜歡幫助別人、了解別人、有教導別人的能力，且重視社會與倫理的活動與問題。</w:t>
            </w:r>
          </w:p>
        </w:tc>
      </w:tr>
      <w:tr>
        <w:trPr>
          <w:trHeight w:val="2170" w:hRule="exact"/>
        </w:trPr>
        <w:tc>
          <w:tcPr>
            <w:tcW w:w="1102" w:type="dxa"/>
          </w:tcPr>
          <w:p>
            <w:pPr>
              <w:pStyle w:val="TableParagraph"/>
              <w:spacing w:line="300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管理型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auto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冒險、野心、獨斷、衝動、樂觀、自信、追求享樂、精力充沛、善於社交、獲取注意、知名度</w:t>
            </w:r>
          </w:p>
        </w:tc>
        <w:tc>
          <w:tcPr>
            <w:tcW w:w="5475" w:type="dxa"/>
          </w:tcPr>
          <w:p>
            <w:pPr>
              <w:pStyle w:val="TableParagraph"/>
              <w:spacing w:line="268" w:lineRule="auto"/>
              <w:ind w:right="102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（</w:t>
            </w:r>
            <w:r>
              <w:rPr>
                <w:rFonts w:ascii="Calibri" w:eastAsia="Calibri"/>
                <w:spacing w:val="4"/>
                <w:sz w:val="24"/>
              </w:rPr>
              <w:t>1</w:t>
            </w:r>
            <w:r>
              <w:rPr>
                <w:spacing w:val="4"/>
                <w:sz w:val="24"/>
              </w:rPr>
              <w:t>）</w:t>
            </w:r>
            <w:r>
              <w:rPr>
                <w:spacing w:val="1"/>
                <w:sz w:val="24"/>
              </w:rPr>
              <w:t>喜愛企業性質的職業或情境，而避免研究性</w:t>
            </w:r>
            <w:r>
              <w:rPr>
                <w:spacing w:val="-3"/>
                <w:sz w:val="24"/>
              </w:rPr>
              <w:t>的職業或情境，並以企業方面的能力解決工作及其他方面的問題。</w:t>
            </w:r>
          </w:p>
          <w:p>
            <w:pPr>
              <w:pStyle w:val="TableParagraph"/>
              <w:spacing w:line="268" w:lineRule="auto" w:before="31"/>
              <w:ind w:right="97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（</w:t>
            </w:r>
            <w:r>
              <w:rPr>
                <w:rFonts w:ascii="Calibri" w:eastAsia="Calibri"/>
                <w:spacing w:val="4"/>
                <w:sz w:val="24"/>
              </w:rPr>
              <w:t>2</w:t>
            </w:r>
            <w:r>
              <w:rPr>
                <w:spacing w:val="4"/>
                <w:sz w:val="24"/>
              </w:rPr>
              <w:t>）</w:t>
            </w:r>
            <w:r>
              <w:rPr>
                <w:spacing w:val="2"/>
                <w:sz w:val="24"/>
              </w:rPr>
              <w:t>自覺有衝動、自信、善社交、知名度高、有</w:t>
            </w:r>
            <w:r>
              <w:rPr>
                <w:spacing w:val="-4"/>
                <w:sz w:val="24"/>
              </w:rPr>
              <w:t>領導與語言能力、缺乏科學能力，但重視政治與經濟上的成就。</w:t>
            </w:r>
          </w:p>
        </w:tc>
      </w:tr>
      <w:tr>
        <w:trPr>
          <w:trHeight w:val="1813" w:hRule="exact"/>
        </w:trPr>
        <w:tc>
          <w:tcPr>
            <w:tcW w:w="1102" w:type="dxa"/>
          </w:tcPr>
          <w:p>
            <w:pPr>
              <w:pStyle w:val="TableParagraph"/>
              <w:spacing w:line="302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常規型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順從、謹慎、保守、自抑、服從、規律、堅毅、實際穩</w:t>
            </w:r>
            <w:r>
              <w:rPr>
                <w:spacing w:val="-7"/>
                <w:sz w:val="24"/>
              </w:rPr>
              <w:t>重、有效率、缺乏想  像力。</w:t>
            </w:r>
          </w:p>
        </w:tc>
        <w:tc>
          <w:tcPr>
            <w:tcW w:w="5475" w:type="dxa"/>
          </w:tcPr>
          <w:p>
            <w:pPr>
              <w:pStyle w:val="TableParagraph"/>
              <w:spacing w:line="268" w:lineRule="auto"/>
              <w:ind w:right="102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（</w:t>
            </w:r>
            <w:r>
              <w:rPr>
                <w:rFonts w:ascii="Calibri" w:eastAsia="Calibri"/>
                <w:spacing w:val="4"/>
                <w:sz w:val="24"/>
              </w:rPr>
              <w:t>1</w:t>
            </w:r>
            <w:r>
              <w:rPr>
                <w:spacing w:val="4"/>
                <w:sz w:val="24"/>
              </w:rPr>
              <w:t>）</w:t>
            </w:r>
            <w:r>
              <w:rPr>
                <w:spacing w:val="1"/>
                <w:sz w:val="24"/>
              </w:rPr>
              <w:t>喜愛傳統性質的職業或情境，而避免藝術性</w:t>
            </w:r>
            <w:r>
              <w:rPr>
                <w:spacing w:val="-3"/>
                <w:sz w:val="24"/>
              </w:rPr>
              <w:t>的職業或情境，並以傳統的能力解決工作及其他方面的問題。</w:t>
            </w:r>
          </w:p>
          <w:p>
            <w:pPr>
              <w:pStyle w:val="TableParagraph"/>
              <w:spacing w:line="261" w:lineRule="auto" w:before="2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2</w:t>
            </w:r>
            <w:r>
              <w:rPr>
                <w:sz w:val="24"/>
              </w:rPr>
              <w:t>）具有文書作業與數字計算的能力並重視商業與經濟上的成就。</w:t>
            </w:r>
          </w:p>
        </w:tc>
      </w:tr>
    </w:tbl>
    <w:p>
      <w:pPr>
        <w:pStyle w:val="BodyText"/>
        <w:spacing w:before="79"/>
        <w:ind w:left="212"/>
        <w:rPr>
          <w:rFonts w:ascii="Times New Roman" w:eastAsia="Times New Roman"/>
        </w:rPr>
      </w:pPr>
      <w:r>
        <w:rPr>
          <w:b/>
          <w:position w:val="1"/>
        </w:rPr>
        <w:t>參考書目：  </w:t>
      </w:r>
      <w:r>
        <w:rPr>
          <w:rFonts w:ascii="Times New Roman" w:eastAsia="Times New Roman"/>
        </w:rPr>
        <w:t>Sharf,   R.   S.   (2010).   Applying   Career   Development   Theory   to   Counseling.</w:t>
      </w: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BodyText"/>
        <w:ind w:left="1564"/>
        <w:rPr>
          <w:rFonts w:ascii="Times New Roman"/>
        </w:rPr>
      </w:pPr>
      <w:r>
        <w:rPr>
          <w:rFonts w:ascii="Times New Roman"/>
        </w:rPr>
        <w:t>Brooks/Cole.</w:t>
      </w:r>
    </w:p>
    <w:p>
      <w:pPr>
        <w:pStyle w:val="BodyText"/>
        <w:spacing w:before="210"/>
        <w:ind w:left="1564"/>
      </w:pPr>
      <w:r>
        <w:rPr/>
        <w:t>吳芝儀</w:t>
      </w:r>
      <w:r>
        <w:rPr>
          <w:rFonts w:ascii="Times New Roman" w:eastAsia="Times New Roman"/>
        </w:rPr>
        <w:t>(2000)</w:t>
      </w:r>
      <w:r>
        <w:rPr/>
        <w:t>生涯探索與規劃：我的生涯手冊</w:t>
      </w:r>
    </w:p>
    <w:sectPr>
      <w:pgSz w:w="11910" w:h="16840"/>
      <w:pgMar w:top="64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1753" w:hanging="48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632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5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7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0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3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5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8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1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53" w:hanging="480"/>
      <w:outlineLvl w:val="1"/>
    </w:pPr>
    <w:rPr>
      <w:rFonts w:ascii="新細明體" w:hAnsi="新細明體" w:eastAsia="新細明體" w:cs="新細明體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753" w:hanging="480"/>
    </w:pPr>
    <w:rPr>
      <w:rFonts w:ascii="新細明體" w:hAnsi="新細明體" w:eastAsia="新細明體" w:cs="新細明體"/>
    </w:rPr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新細明體" w:hAnsi="新細明體" w:eastAsia="新細明體" w:cs="新細明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Autumn</dc:creator>
  <dcterms:created xsi:type="dcterms:W3CDTF">2018-08-17T09:19:00Z</dcterms:created>
  <dcterms:modified xsi:type="dcterms:W3CDTF">2018-08-17T09:19:00Z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2018-08-17T00:00:00Z</vt:filetime>
  </property>
</Properties>
</file>