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17"/>
        </w:rPr>
      </w:pPr>
    </w:p>
    <w:p>
      <w:pPr>
        <w:pStyle w:val="BodyText"/>
        <w:spacing w:before="26"/>
        <w:ind w:left="312"/>
      </w:pPr>
      <w:r>
        <w:rPr>
          <w:color w:val="212121"/>
          <w:w w:val="95"/>
        </w:rPr>
        <w:t>資料一：香港統計處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8"/>
        </w:rPr>
      </w:pPr>
    </w:p>
    <w:tbl>
      <w:tblPr>
        <w:tblW w:w="0" w:type="auto"/>
        <w:jc w:val="left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2"/>
        <w:gridCol w:w="8780"/>
      </w:tblGrid>
      <w:tr>
        <w:trPr>
          <w:trHeight w:val="1124" w:hRule="exact"/>
        </w:trPr>
        <w:tc>
          <w:tcPr>
            <w:tcW w:w="1322" w:type="dxa"/>
          </w:tcPr>
          <w:p>
            <w:pPr>
              <w:pStyle w:val="TableParagraph"/>
              <w:spacing w:line="262" w:lineRule="exact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所  需  時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w w:val="95"/>
                <w:sz w:val="24"/>
              </w:rPr>
              <w:t>間：</w:t>
            </w:r>
          </w:p>
        </w:tc>
        <w:tc>
          <w:tcPr>
            <w:tcW w:w="8780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rFonts w:ascii="Times New Roman" w:eastAsia="Times New Roman"/>
                <w:color w:val="212121"/>
                <w:sz w:val="24"/>
              </w:rPr>
              <w:t>15 </w:t>
            </w:r>
            <w:r>
              <w:rPr>
                <w:color w:val="212121"/>
                <w:sz w:val="24"/>
              </w:rPr>
              <w:t>分鐘</w:t>
            </w:r>
          </w:p>
        </w:tc>
      </w:tr>
      <w:tr>
        <w:trPr>
          <w:trHeight w:val="886" w:hRule="exact"/>
        </w:trPr>
        <w:tc>
          <w:tcPr>
            <w:tcW w:w="132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w w:val="95"/>
                <w:sz w:val="24"/>
              </w:rPr>
              <w:t>目的：</w:t>
            </w:r>
          </w:p>
        </w:tc>
        <w:tc>
          <w:tcPr>
            <w:tcW w:w="878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12121"/>
                <w:sz w:val="24"/>
              </w:rPr>
              <w:t>提供本港非華裔人士較準確及全面的數據，讓教師更掌握非華語社群的各項特徵。</w:t>
            </w:r>
          </w:p>
        </w:tc>
      </w:tr>
      <w:tr>
        <w:trPr>
          <w:trHeight w:val="1415" w:hRule="exact"/>
        </w:trPr>
        <w:tc>
          <w:tcPr>
            <w:tcW w:w="132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412" w:lineRule="auto"/>
              <w:ind w:left="200" w:right="68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搜 尋 方</w:t>
            </w:r>
            <w:r>
              <w:rPr>
                <w:b/>
                <w:color w:val="212121"/>
                <w:w w:val="95"/>
                <w:sz w:val="24"/>
              </w:rPr>
              <w:t>法：</w:t>
            </w:r>
          </w:p>
        </w:tc>
        <w:tc>
          <w:tcPr>
            <w:tcW w:w="878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12121"/>
                <w:sz w:val="24"/>
              </w:rPr>
              <w:t>可從香港統計處網頁內搜尋已出版的最新刊物</w:t>
            </w:r>
          </w:p>
        </w:tc>
      </w:tr>
      <w:tr>
        <w:trPr>
          <w:trHeight w:val="4673" w:hRule="exact"/>
        </w:trPr>
        <w:tc>
          <w:tcPr>
            <w:tcW w:w="1322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w w:val="95"/>
                <w:sz w:val="24"/>
              </w:rPr>
              <w:t>例子：</w:t>
            </w:r>
          </w:p>
        </w:tc>
        <w:tc>
          <w:tcPr>
            <w:tcW w:w="8780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408" w:lineRule="auto" w:before="1"/>
              <w:ind w:left="109" w:right="30"/>
              <w:rPr>
                <w:sz w:val="24"/>
              </w:rPr>
            </w:pPr>
            <w:r>
              <w:rPr>
                <w:color w:val="212121"/>
                <w:sz w:val="24"/>
              </w:rPr>
              <w:t>《二零一六年度中期人口統計報告：主題性報告</w:t>
            </w:r>
            <w:r>
              <w:rPr>
                <w:rFonts w:ascii="Times New Roman" w:hAnsi="Times New Roman" w:eastAsia="Times New Roman"/>
                <w:color w:val="212121"/>
                <w:sz w:val="24"/>
              </w:rPr>
              <w:t>- </w:t>
            </w:r>
            <w:r>
              <w:rPr>
                <w:color w:val="212121"/>
                <w:sz w:val="24"/>
              </w:rPr>
              <w:t>少數族裔人士》</w:t>
            </w:r>
            <w:r>
              <w:rPr>
                <w:rFonts w:ascii="Times New Roman" w:hAnsi="Times New Roman" w:eastAsia="Times New Roman"/>
                <w:color w:val="212121"/>
                <w:sz w:val="24"/>
              </w:rPr>
              <w:t>–</w:t>
            </w:r>
            <w:r>
              <w:rPr>
                <w:color w:val="212121"/>
                <w:sz w:val="24"/>
              </w:rPr>
              <w:t>了解在港的不同族裔人士基本資料，包括：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</w:tabs>
              <w:spacing w:line="408" w:lineRule="auto" w:before="58" w:after="0"/>
              <w:ind w:left="469" w:right="255" w:hanging="36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人口特徵：年齡及性別結構、居港年期、慣用交談語言、閱讀</w:t>
            </w:r>
            <w:r>
              <w:rPr>
                <w:rFonts w:ascii="Times New Roman" w:eastAsia="Times New Roman"/>
                <w:color w:val="212121"/>
                <w:sz w:val="24"/>
              </w:rPr>
              <w:t>/</w:t>
            </w:r>
            <w:r>
              <w:rPr>
                <w:color w:val="212121"/>
                <w:sz w:val="24"/>
              </w:rPr>
              <w:t>書寫語言的能力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</w:tabs>
              <w:spacing w:line="240" w:lineRule="auto" w:before="58" w:after="0"/>
              <w:ind w:left="469" w:right="0" w:hanging="36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教育特徵：就學情況、教育程度、專上教育、修讀科目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</w:tabs>
              <w:spacing w:line="408" w:lineRule="auto" w:before="222" w:after="0"/>
              <w:ind w:left="469" w:right="258" w:hanging="360"/>
              <w:jc w:val="left"/>
              <w:rPr>
                <w:sz w:val="24"/>
              </w:rPr>
            </w:pPr>
            <w:r>
              <w:rPr>
                <w:color w:val="212121"/>
                <w:spacing w:val="-8"/>
                <w:sz w:val="24"/>
              </w:rPr>
              <w:t>經濟特徵：勞動人口參與率、工作人口</w:t>
            </w:r>
            <w:r>
              <w:rPr>
                <w:color w:val="212121"/>
                <w:sz w:val="24"/>
              </w:rPr>
              <w:t>（</w:t>
            </w:r>
            <w:r>
              <w:rPr>
                <w:color w:val="212121"/>
                <w:spacing w:val="-8"/>
                <w:sz w:val="24"/>
              </w:rPr>
              <w:t>經濟活動身份、職業、行業、每月主要職業收入、工作時數）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</w:tabs>
              <w:spacing w:line="240" w:lineRule="auto" w:before="57" w:after="0"/>
              <w:ind w:left="469" w:right="0" w:hanging="36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地區特徵：內地遷移</w:t>
            </w:r>
          </w:p>
        </w:tc>
      </w:tr>
      <w:tr>
        <w:trPr>
          <w:trHeight w:val="580" w:hRule="exact"/>
        </w:trPr>
        <w:tc>
          <w:tcPr>
            <w:tcW w:w="1322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w w:val="95"/>
                <w:sz w:val="24"/>
              </w:rPr>
              <w:t>網址：</w:t>
            </w:r>
          </w:p>
        </w:tc>
        <w:tc>
          <w:tcPr>
            <w:tcW w:w="878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12121"/>
                <w:sz w:val="24"/>
              </w:rPr>
              <w:t>https:/</w:t>
            </w:r>
            <w:hyperlink r:id="rId6">
              <w:r>
                <w:rPr>
                  <w:rFonts w:ascii="Times New Roman"/>
                  <w:color w:val="212121"/>
                  <w:sz w:val="24"/>
                </w:rPr>
                <w:t>/www.c</w:t>
              </w:r>
            </w:hyperlink>
            <w:r>
              <w:rPr>
                <w:rFonts w:ascii="Times New Roman"/>
                <w:color w:val="212121"/>
                <w:sz w:val="24"/>
              </w:rPr>
              <w:t>e</w:t>
            </w:r>
            <w:hyperlink r:id="rId6">
              <w:r>
                <w:rPr>
                  <w:rFonts w:ascii="Times New Roman"/>
                  <w:color w:val="212121"/>
                  <w:sz w:val="24"/>
                </w:rPr>
                <w:t>nstatd.gov.hk/hkstat/sub/sp459_tc.jsp?productCode=B1120100</w:t>
              </w:r>
            </w:hyperlink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type w:val="continuous"/>
          <w:pgSz w:w="11910" w:h="16840"/>
          <w:pgMar w:header="782" w:top="1460" w:bottom="280" w:left="820" w:right="760"/>
        </w:sectPr>
      </w:pPr>
    </w:p>
    <w:p>
      <w:pPr>
        <w:spacing w:line="240" w:lineRule="auto" w:before="0"/>
        <w:rPr>
          <w:b/>
          <w:sz w:val="15"/>
        </w:rPr>
      </w:pPr>
    </w:p>
    <w:p>
      <w:pPr>
        <w:pStyle w:val="BodyText"/>
        <w:spacing w:before="26"/>
        <w:ind w:left="312"/>
      </w:pPr>
      <w:r>
        <w:rPr>
          <w:color w:val="212121"/>
          <w:w w:val="95"/>
        </w:rPr>
        <w:t>資料二：僱員再培訓局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28"/>
        </w:rPr>
      </w:pPr>
    </w:p>
    <w:tbl>
      <w:tblPr>
        <w:tblW w:w="0" w:type="auto"/>
        <w:jc w:val="left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4"/>
        <w:gridCol w:w="8549"/>
      </w:tblGrid>
      <w:tr>
        <w:trPr>
          <w:trHeight w:val="587" w:hRule="exact"/>
        </w:trPr>
        <w:tc>
          <w:tcPr>
            <w:tcW w:w="1494" w:type="dxa"/>
          </w:tcPr>
          <w:p>
            <w:pPr>
              <w:pStyle w:val="TableParagraph"/>
              <w:spacing w:line="262" w:lineRule="exact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所需時間：</w:t>
            </w:r>
          </w:p>
        </w:tc>
        <w:tc>
          <w:tcPr>
            <w:tcW w:w="8549" w:type="dxa"/>
          </w:tcPr>
          <w:p>
            <w:pPr>
              <w:pStyle w:val="TableParagraph"/>
              <w:spacing w:line="266" w:lineRule="exact"/>
              <w:ind w:left="91"/>
              <w:rPr>
                <w:sz w:val="24"/>
              </w:rPr>
            </w:pPr>
            <w:r>
              <w:rPr>
                <w:rFonts w:ascii="Times New Roman" w:eastAsia="Times New Roman"/>
                <w:color w:val="212121"/>
                <w:sz w:val="24"/>
              </w:rPr>
              <w:t>15 </w:t>
            </w:r>
            <w:r>
              <w:rPr>
                <w:color w:val="212121"/>
                <w:sz w:val="24"/>
              </w:rPr>
              <w:t>分鐘</w:t>
            </w:r>
          </w:p>
        </w:tc>
      </w:tr>
      <w:tr>
        <w:trPr>
          <w:trHeight w:val="1424" w:hRule="exact"/>
        </w:trPr>
        <w:tc>
          <w:tcPr>
            <w:tcW w:w="1494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w w:val="95"/>
                <w:sz w:val="24"/>
              </w:rPr>
              <w:t>目的：</w:t>
            </w:r>
          </w:p>
        </w:tc>
        <w:tc>
          <w:tcPr>
            <w:tcW w:w="8549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spacing w:line="412" w:lineRule="auto"/>
              <w:ind w:left="91" w:right="77"/>
              <w:rPr>
                <w:sz w:val="24"/>
              </w:rPr>
            </w:pPr>
            <w:r>
              <w:rPr>
                <w:color w:val="212121"/>
                <w:sz w:val="24"/>
              </w:rPr>
              <w:t>提供有關僱主的意見調查結果，讓教師了解僱主對非華語社群的看法，從而為校內非華語學生作準備。</w:t>
            </w:r>
          </w:p>
        </w:tc>
      </w:tr>
      <w:tr>
        <w:trPr>
          <w:trHeight w:val="817" w:hRule="exact"/>
        </w:trPr>
        <w:tc>
          <w:tcPr>
            <w:tcW w:w="149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搜尋方法：</w:t>
            </w:r>
          </w:p>
        </w:tc>
        <w:tc>
          <w:tcPr>
            <w:tcW w:w="8549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color w:val="212121"/>
                <w:sz w:val="24"/>
              </w:rPr>
              <w:t>可於僱員再培訓局網頁搜尋</w:t>
            </w:r>
          </w:p>
        </w:tc>
      </w:tr>
      <w:tr>
        <w:trPr>
          <w:trHeight w:val="9125" w:hRule="exact"/>
        </w:trPr>
        <w:tc>
          <w:tcPr>
            <w:tcW w:w="1494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w w:val="95"/>
                <w:sz w:val="24"/>
              </w:rPr>
              <w:t>例子：</w:t>
            </w:r>
          </w:p>
        </w:tc>
        <w:tc>
          <w:tcPr>
            <w:tcW w:w="8549" w:type="dxa"/>
          </w:tcPr>
          <w:p>
            <w:pPr>
              <w:pStyle w:val="TableParagraph"/>
              <w:spacing w:line="352" w:lineRule="auto" w:before="202"/>
              <w:ind w:left="91" w:right="77"/>
              <w:rPr>
                <w:sz w:val="24"/>
              </w:rPr>
            </w:pPr>
            <w:r>
              <w:rPr>
                <w:color w:val="212121"/>
                <w:sz w:val="24"/>
              </w:rPr>
              <w:t>「聘用少數族裔人士的概況」主題問卷調查 （</w:t>
            </w:r>
            <w:r>
              <w:rPr>
                <w:rFonts w:ascii="Times New Roman" w:eastAsia="Times New Roman"/>
                <w:color w:val="212121"/>
                <w:sz w:val="24"/>
              </w:rPr>
              <w:t>2013</w:t>
            </w:r>
            <w:r>
              <w:rPr>
                <w:color w:val="212121"/>
                <w:sz w:val="24"/>
              </w:rPr>
              <w:t>；</w:t>
            </w:r>
            <w:r>
              <w:rPr>
                <w:rFonts w:ascii="Times New Roman" w:eastAsia="Times New Roman"/>
                <w:color w:val="212121"/>
                <w:sz w:val="24"/>
              </w:rPr>
              <w:t>2016</w:t>
            </w:r>
            <w:r>
              <w:rPr>
                <w:color w:val="212121"/>
                <w:sz w:val="24"/>
              </w:rPr>
              <w:t>），了解受訪僱主聘用少數族裔時，關注的項目：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1" w:val="left" w:leader="none"/>
                <w:tab w:pos="572" w:val="left" w:leader="none"/>
              </w:tabs>
              <w:spacing w:line="240" w:lineRule="auto" w:before="41" w:after="0"/>
              <w:ind w:left="571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聘用「少數族裔員工」時，僱主的重要考慮因素：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051" w:val="left" w:leader="none"/>
                <w:tab w:pos="1052" w:val="left" w:leader="none"/>
              </w:tabs>
              <w:spacing w:line="352" w:lineRule="auto" w:before="151" w:after="0"/>
              <w:ind w:left="1051" w:right="202" w:hanging="480"/>
              <w:jc w:val="left"/>
              <w:rPr>
                <w:rFonts w:ascii="Wingdings" w:eastAsia="Wingdings"/>
                <w:color w:val="212121"/>
                <w:sz w:val="24"/>
              </w:rPr>
            </w:pPr>
            <w:r>
              <w:rPr>
                <w:sz w:val="24"/>
              </w:rPr>
              <w:t>企業聘用「少數族裔員工」的首三個考慮為「工作態度」</w:t>
            </w:r>
            <w:r>
              <w:rPr>
                <w:rFonts w:ascii="Times New Roman" w:eastAsia="Times New Roman"/>
                <w:sz w:val="24"/>
              </w:rPr>
              <w:t>(29%)</w:t>
            </w:r>
            <w:r>
              <w:rPr>
                <w:spacing w:val="-40"/>
                <w:sz w:val="24"/>
              </w:rPr>
              <w:t>、「具備中文聽講能力」</w:t>
            </w:r>
            <w:r>
              <w:rPr>
                <w:rFonts w:ascii="Times New Roman" w:eastAsia="Times New Roman"/>
                <w:spacing w:val="-40"/>
                <w:sz w:val="24"/>
              </w:rPr>
              <w:t>(28%)</w:t>
            </w:r>
            <w:r>
              <w:rPr>
                <w:rFonts w:ascii="Times New Roman" w:eastAsia="Times New Roman"/>
                <w:spacing w:val="58"/>
                <w:sz w:val="24"/>
              </w:rPr>
              <w:t> </w:t>
            </w:r>
            <w:r>
              <w:rPr>
                <w:sz w:val="24"/>
              </w:rPr>
              <w:t>及「具備中文讀寫程度」</w:t>
            </w:r>
            <w:r>
              <w:rPr>
                <w:rFonts w:ascii="Times New Roman" w:eastAsia="Times New Roman"/>
                <w:sz w:val="24"/>
              </w:rPr>
              <w:t>(13%)</w:t>
            </w:r>
          </w:p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1" w:val="left" w:leader="none"/>
                <w:tab w:pos="572" w:val="left" w:leader="none"/>
              </w:tabs>
              <w:spacing w:line="240" w:lineRule="auto" w:before="0" w:after="0"/>
              <w:ind w:left="571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僱主認為「少數族裔員工」需要接受培訓項目：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051" w:val="left" w:leader="none"/>
                <w:tab w:pos="1052" w:val="left" w:leader="none"/>
              </w:tabs>
              <w:spacing w:line="240" w:lineRule="auto" w:before="151" w:after="0"/>
              <w:ind w:left="1051" w:right="0" w:hanging="480"/>
              <w:jc w:val="left"/>
              <w:rPr>
                <w:rFonts w:ascii="Wingdings" w:eastAsia="Wingdings"/>
                <w:color w:val="212121"/>
                <w:sz w:val="24"/>
              </w:rPr>
            </w:pPr>
            <w:r>
              <w:rPr>
                <w:sz w:val="24"/>
              </w:rPr>
              <w:t>「少數族裔員工」首三個需要培訓的範疇為「中文聽講及讀寫能力」</w:t>
            </w:r>
          </w:p>
          <w:p>
            <w:pPr>
              <w:pStyle w:val="TableParagraph"/>
              <w:spacing w:before="151"/>
              <w:ind w:left="1051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w w:val="95"/>
                <w:sz w:val="24"/>
              </w:rPr>
              <w:t>(30%)</w:t>
            </w:r>
            <w:r>
              <w:rPr>
                <w:w w:val="95"/>
                <w:sz w:val="24"/>
              </w:rPr>
              <w:t>、「工作態度及操守」</w:t>
            </w:r>
            <w:r>
              <w:rPr>
                <w:rFonts w:ascii="Times New Roman" w:eastAsia="Times New Roman"/>
                <w:w w:val="95"/>
                <w:sz w:val="24"/>
              </w:rPr>
              <w:t>(24%)</w:t>
            </w:r>
            <w:r>
              <w:rPr>
                <w:w w:val="95"/>
                <w:sz w:val="24"/>
              </w:rPr>
              <w:t>及「員工共融技巧」</w:t>
            </w:r>
            <w:r>
              <w:rPr>
                <w:rFonts w:ascii="Times New Roman" w:eastAsia="Times New Roman"/>
                <w:w w:val="95"/>
                <w:sz w:val="24"/>
              </w:rPr>
              <w:t>(20%)</w:t>
            </w:r>
            <w:r>
              <w:rPr>
                <w:w w:val="95"/>
                <w:sz w:val="24"/>
              </w:rPr>
              <w:t>。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1" w:val="left" w:leader="none"/>
                <w:tab w:pos="572" w:val="left" w:leader="none"/>
              </w:tabs>
              <w:spacing w:line="240" w:lineRule="auto" w:before="224" w:after="0"/>
              <w:ind w:left="571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僱主認為管理「少數族裔員工」的主要挑戰：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051" w:val="left" w:leader="none"/>
                <w:tab w:pos="1052" w:val="left" w:leader="none"/>
              </w:tabs>
              <w:spacing w:line="352" w:lineRule="auto" w:before="150" w:after="0"/>
              <w:ind w:left="1051" w:right="198" w:hanging="480"/>
              <w:jc w:val="left"/>
              <w:rPr>
                <w:rFonts w:ascii="Wingdings" w:eastAsia="Wingdings"/>
                <w:sz w:val="24"/>
              </w:rPr>
            </w:pPr>
            <w:r>
              <w:rPr>
                <w:spacing w:val="-11"/>
                <w:sz w:val="24"/>
              </w:rPr>
              <w:t>管理「少數族裔員工」時面對的首三個挑戰為「文化差異」</w:t>
            </w:r>
            <w:r>
              <w:rPr>
                <w:rFonts w:ascii="Times New Roman" w:eastAsia="Times New Roman"/>
                <w:spacing w:val="-4"/>
                <w:sz w:val="24"/>
              </w:rPr>
              <w:t>(36%)</w:t>
            </w:r>
            <w:r>
              <w:rPr>
                <w:spacing w:val="-46"/>
                <w:sz w:val="24"/>
              </w:rPr>
              <w:t>、「語言溝通」</w:t>
            </w:r>
            <w:r>
              <w:rPr>
                <w:rFonts w:ascii="Times New Roman" w:eastAsia="Times New Roman"/>
                <w:spacing w:val="-46"/>
                <w:sz w:val="24"/>
              </w:rPr>
              <w:t>(32%)</w:t>
            </w:r>
            <w:r>
              <w:rPr>
                <w:spacing w:val="-18"/>
                <w:sz w:val="24"/>
              </w:rPr>
              <w:t>及「歸屬 感」</w:t>
            </w:r>
            <w:r>
              <w:rPr>
                <w:rFonts w:ascii="Times New Roman" w:eastAsia="Times New Roman"/>
                <w:spacing w:val="-3"/>
                <w:sz w:val="24"/>
              </w:rPr>
              <w:t>(11%)</w:t>
            </w:r>
          </w:p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1" w:val="left" w:leader="none"/>
                <w:tab w:pos="572" w:val="left" w:leader="none"/>
              </w:tabs>
              <w:spacing w:line="240" w:lineRule="auto" w:before="0" w:after="0"/>
              <w:ind w:left="571" w:right="0" w:hanging="480"/>
              <w:jc w:val="left"/>
              <w:rPr>
                <w:sz w:val="24"/>
              </w:rPr>
            </w:pPr>
            <w:r>
              <w:rPr>
                <w:sz w:val="24"/>
              </w:rPr>
              <w:t>企業認為「少數族裔人士」員工與其他員工比較工作表現：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051" w:val="left" w:leader="none"/>
                <w:tab w:pos="1052" w:val="left" w:leader="none"/>
              </w:tabs>
              <w:spacing w:line="240" w:lineRule="auto" w:before="151" w:after="0"/>
              <w:ind w:left="1051" w:right="0" w:hanging="480"/>
              <w:jc w:val="left"/>
              <w:rPr>
                <w:rFonts w:ascii="Wingdings" w:eastAsia="Wingdings"/>
                <w:color w:val="212121"/>
                <w:sz w:val="24"/>
              </w:rPr>
            </w:pPr>
            <w:r>
              <w:rPr>
                <w:color w:val="212121"/>
                <w:spacing w:val="1"/>
                <w:sz w:val="24"/>
              </w:rPr>
              <w:t>超過  </w:t>
            </w:r>
            <w:r>
              <w:rPr>
                <w:rFonts w:ascii="Times New Roman" w:eastAsia="Times New Roman"/>
                <w:color w:val="212121"/>
                <w:sz w:val="24"/>
              </w:rPr>
              <w:t>75%</w:t>
            </w:r>
            <w:r>
              <w:rPr>
                <w:color w:val="212121"/>
                <w:sz w:val="24"/>
              </w:rPr>
              <w:t>企業認為「少數族裔人士」員工在「勤力」、「主動性」、</w:t>
            </w:r>
          </w:p>
          <w:p>
            <w:pPr>
              <w:pStyle w:val="TableParagraph"/>
              <w:spacing w:line="357" w:lineRule="auto" w:before="153"/>
              <w:ind w:left="1051" w:right="2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「上進心」及「責任感」四方面的表現與其他員工沒有明顯分別。相對而言，認為「少數族裔人士」員工的「穩定性」較其他員工為好的企業有 </w:t>
            </w:r>
            <w:r>
              <w:rPr>
                <w:rFonts w:ascii="Times New Roman" w:eastAsia="Times New Roman"/>
                <w:color w:val="212121"/>
                <w:sz w:val="24"/>
              </w:rPr>
              <w:t>35%</w:t>
            </w:r>
            <w:r>
              <w:rPr>
                <w:color w:val="212121"/>
                <w:sz w:val="24"/>
              </w:rPr>
              <w:t>。</w:t>
            </w:r>
          </w:p>
        </w:tc>
      </w:tr>
      <w:tr>
        <w:trPr>
          <w:trHeight w:val="603" w:hRule="exact"/>
        </w:trPr>
        <w:tc>
          <w:tcPr>
            <w:tcW w:w="1494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w w:val="95"/>
                <w:sz w:val="24"/>
              </w:rPr>
              <w:t>網址：</w:t>
            </w:r>
          </w:p>
        </w:tc>
        <w:tc>
          <w:tcPr>
            <w:tcW w:w="8549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91"/>
              <w:rPr>
                <w:rFonts w:ascii="Times New Roman"/>
                <w:sz w:val="24"/>
              </w:rPr>
            </w:pPr>
            <w:hyperlink r:id="rId8">
              <w:r>
                <w:rPr>
                  <w:rFonts w:ascii="Times New Roman"/>
                  <w:color w:val="212121"/>
                  <w:sz w:val="24"/>
                </w:rPr>
                <w:t>http://www.erb.org/md/tc/Activities/20160318.php</w:t>
              </w:r>
            </w:hyperlink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7"/>
          <w:pgSz w:w="11910" w:h="16840"/>
          <w:pgMar w:header="785" w:footer="0" w:top="1460" w:bottom="280" w:left="820" w:right="820"/>
        </w:sectPr>
      </w:pPr>
    </w:p>
    <w:p>
      <w:pPr>
        <w:spacing w:line="240" w:lineRule="auto" w:before="0"/>
        <w:rPr>
          <w:b/>
          <w:sz w:val="15"/>
        </w:rPr>
      </w:pPr>
    </w:p>
    <w:p>
      <w:pPr>
        <w:pStyle w:val="BodyText"/>
        <w:spacing w:before="26"/>
        <w:ind w:left="312"/>
      </w:pPr>
      <w:r>
        <w:rPr>
          <w:color w:val="212121"/>
        </w:rPr>
        <w:t>資料三：教育局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28"/>
        </w:rPr>
      </w:pPr>
    </w:p>
    <w:tbl>
      <w:tblPr>
        <w:tblW w:w="0" w:type="auto"/>
        <w:jc w:val="left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4"/>
        <w:gridCol w:w="8549"/>
      </w:tblGrid>
      <w:tr>
        <w:trPr>
          <w:trHeight w:val="587" w:hRule="exact"/>
        </w:trPr>
        <w:tc>
          <w:tcPr>
            <w:tcW w:w="1494" w:type="dxa"/>
          </w:tcPr>
          <w:p>
            <w:pPr>
              <w:pStyle w:val="TableParagraph"/>
              <w:spacing w:line="262" w:lineRule="exact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所需時間：</w:t>
            </w:r>
          </w:p>
        </w:tc>
        <w:tc>
          <w:tcPr>
            <w:tcW w:w="8549" w:type="dxa"/>
          </w:tcPr>
          <w:p>
            <w:pPr>
              <w:pStyle w:val="TableParagraph"/>
              <w:spacing w:line="266" w:lineRule="exact"/>
              <w:ind w:left="91"/>
              <w:rPr>
                <w:sz w:val="24"/>
              </w:rPr>
            </w:pPr>
            <w:r>
              <w:rPr>
                <w:rFonts w:ascii="Times New Roman" w:eastAsia="Times New Roman"/>
                <w:color w:val="212121"/>
                <w:sz w:val="24"/>
              </w:rPr>
              <w:t>15 </w:t>
            </w:r>
            <w:r>
              <w:rPr>
                <w:color w:val="212121"/>
                <w:sz w:val="24"/>
              </w:rPr>
              <w:t>分鐘</w:t>
            </w:r>
          </w:p>
        </w:tc>
      </w:tr>
      <w:tr>
        <w:trPr>
          <w:trHeight w:val="1953" w:hRule="exact"/>
        </w:trPr>
        <w:tc>
          <w:tcPr>
            <w:tcW w:w="1494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w w:val="95"/>
                <w:sz w:val="24"/>
              </w:rPr>
              <w:t>目的：</w:t>
            </w:r>
          </w:p>
        </w:tc>
        <w:tc>
          <w:tcPr>
            <w:tcW w:w="8549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spacing w:line="412" w:lineRule="auto"/>
              <w:ind w:left="91" w:right="19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提供在港</w:t>
            </w:r>
            <w:r>
              <w:rPr>
                <w:sz w:val="24"/>
              </w:rPr>
              <w:t>錄取非華語學生的學校數目，依照非華語學生佔校內總學生人數百比劃分，分別包括了小學及中學數目。讓教師掌握非華語學生</w:t>
            </w:r>
            <w:r>
              <w:rPr>
                <w:color w:val="212121"/>
                <w:sz w:val="24"/>
              </w:rPr>
              <w:t>預計未來的人數及潛在需要，從而作出更全面的準備。</w:t>
            </w:r>
          </w:p>
        </w:tc>
      </w:tr>
      <w:tr>
        <w:trPr>
          <w:trHeight w:val="888" w:hRule="exact"/>
        </w:trPr>
        <w:tc>
          <w:tcPr>
            <w:tcW w:w="149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搜尋方法：</w:t>
            </w:r>
          </w:p>
        </w:tc>
        <w:tc>
          <w:tcPr>
            <w:tcW w:w="854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2252" w:val="left" w:leader="none"/>
              </w:tabs>
              <w:ind w:left="91"/>
              <w:rPr>
                <w:sz w:val="24"/>
              </w:rPr>
            </w:pPr>
            <w:r>
              <w:rPr>
                <w:color w:val="212121"/>
                <w:sz w:val="24"/>
              </w:rPr>
              <w:t>可透過教育局網頁</w:t>
              <w:tab/>
            </w:r>
            <w:r>
              <w:rPr>
                <w:rFonts w:ascii="Times New Roman" w:hAnsi="Times New Roman" w:eastAsia="Times New Roman"/>
                <w:color w:val="212121"/>
                <w:sz w:val="24"/>
              </w:rPr>
              <w:t>–</w:t>
            </w:r>
            <w:r>
              <w:rPr>
                <w:color w:val="212121"/>
                <w:sz w:val="24"/>
              </w:rPr>
              <w:t>統計及刊物中搜尋</w:t>
            </w:r>
          </w:p>
        </w:tc>
      </w:tr>
      <w:tr>
        <w:trPr>
          <w:trHeight w:val="890" w:hRule="exact"/>
        </w:trPr>
        <w:tc>
          <w:tcPr>
            <w:tcW w:w="1494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w w:val="95"/>
                <w:sz w:val="24"/>
              </w:rPr>
              <w:t>例子：</w:t>
            </w:r>
          </w:p>
        </w:tc>
        <w:tc>
          <w:tcPr>
            <w:tcW w:w="8549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1"/>
              <w:rPr>
                <w:rFonts w:ascii="Times New Roman" w:eastAsia="Times New Roman"/>
                <w:sz w:val="24"/>
              </w:rPr>
            </w:pPr>
            <w:r>
              <w:rPr>
                <w:color w:val="212121"/>
                <w:sz w:val="24"/>
              </w:rPr>
              <w:t>《</w:t>
            </w:r>
            <w:r>
              <w:rPr>
                <w:rFonts w:ascii="Times New Roman" w:eastAsia="Times New Roman"/>
                <w:color w:val="212121"/>
                <w:sz w:val="24"/>
              </w:rPr>
              <w:t>2016/17 </w:t>
            </w:r>
            <w:r>
              <w:rPr>
                <w:color w:val="212121"/>
                <w:sz w:val="24"/>
              </w:rPr>
              <w:t>學年學生人數統計》</w:t>
            </w:r>
            <w:r>
              <w:rPr>
                <w:rFonts w:ascii="Times New Roman" w:eastAsia="Times New Roman"/>
                <w:color w:val="212121"/>
                <w:sz w:val="24"/>
              </w:rPr>
              <w:t>(</w:t>
            </w:r>
            <w:r>
              <w:rPr>
                <w:color w:val="212121"/>
                <w:sz w:val="24"/>
              </w:rPr>
              <w:t>幼稚園、小學及中學程度</w:t>
            </w:r>
            <w:r>
              <w:rPr>
                <w:rFonts w:ascii="Times New Roman" w:eastAsia="Times New Roman"/>
                <w:color w:val="212121"/>
                <w:sz w:val="24"/>
              </w:rPr>
              <w:t>)</w:t>
            </w:r>
          </w:p>
        </w:tc>
      </w:tr>
      <w:tr>
        <w:trPr>
          <w:trHeight w:val="580" w:hRule="exact"/>
        </w:trPr>
        <w:tc>
          <w:tcPr>
            <w:tcW w:w="1494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網址：</w:t>
            </w:r>
          </w:p>
        </w:tc>
        <w:tc>
          <w:tcPr>
            <w:tcW w:w="854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91"/>
              <w:rPr>
                <w:rFonts w:ascii="Times New Roman"/>
                <w:sz w:val="24"/>
              </w:rPr>
            </w:pPr>
            <w:hyperlink r:id="rId10">
              <w:r>
                <w:rPr>
                  <w:rFonts w:ascii="Times New Roman"/>
                  <w:sz w:val="24"/>
                </w:rPr>
                <w:t>http://www.edb.gov.hk/tc/about-edb/publications-stat/figures/index_1.html</w:t>
              </w:r>
            </w:hyperlink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9"/>
          <w:pgSz w:w="11910" w:h="16840"/>
          <w:pgMar w:header="782" w:footer="0" w:top="1460" w:bottom="280" w:left="820" w:right="820"/>
        </w:sectPr>
      </w:pPr>
    </w:p>
    <w:p>
      <w:pPr>
        <w:spacing w:line="240" w:lineRule="auto" w:before="0"/>
        <w:rPr>
          <w:b/>
          <w:sz w:val="15"/>
        </w:rPr>
      </w:pPr>
    </w:p>
    <w:p>
      <w:pPr>
        <w:pStyle w:val="BodyText"/>
        <w:spacing w:before="26"/>
        <w:ind w:left="312"/>
      </w:pPr>
      <w:r>
        <w:rPr>
          <w:color w:val="212121"/>
          <w:w w:val="95"/>
        </w:rPr>
        <w:t>資料四：學校數據庫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28"/>
        </w:rPr>
      </w:pPr>
    </w:p>
    <w:tbl>
      <w:tblPr>
        <w:tblW w:w="0" w:type="auto"/>
        <w:jc w:val="left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8565"/>
      </w:tblGrid>
      <w:tr>
        <w:trPr>
          <w:trHeight w:val="587" w:hRule="exact"/>
        </w:trPr>
        <w:tc>
          <w:tcPr>
            <w:tcW w:w="1476" w:type="dxa"/>
          </w:tcPr>
          <w:p>
            <w:pPr>
              <w:pStyle w:val="TableParagraph"/>
              <w:spacing w:line="262" w:lineRule="exact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w w:val="95"/>
                <w:sz w:val="24"/>
              </w:rPr>
              <w:t>所需時間：</w:t>
            </w:r>
          </w:p>
        </w:tc>
        <w:tc>
          <w:tcPr>
            <w:tcW w:w="8565" w:type="dxa"/>
          </w:tcPr>
          <w:p>
            <w:pPr>
              <w:pStyle w:val="TableParagraph"/>
              <w:spacing w:line="266" w:lineRule="exact"/>
              <w:ind w:left="78"/>
              <w:rPr>
                <w:sz w:val="24"/>
              </w:rPr>
            </w:pPr>
            <w:r>
              <w:rPr>
                <w:rFonts w:ascii="Times New Roman" w:eastAsia="Times New Roman"/>
                <w:color w:val="212121"/>
                <w:sz w:val="24"/>
              </w:rPr>
              <w:t>15 </w:t>
            </w:r>
            <w:r>
              <w:rPr>
                <w:color w:val="212121"/>
                <w:sz w:val="24"/>
              </w:rPr>
              <w:t>分鐘</w:t>
            </w:r>
          </w:p>
        </w:tc>
      </w:tr>
      <w:tr>
        <w:trPr>
          <w:trHeight w:val="1964" w:hRule="exact"/>
        </w:trPr>
        <w:tc>
          <w:tcPr>
            <w:tcW w:w="1476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w w:val="95"/>
                <w:sz w:val="24"/>
              </w:rPr>
              <w:t>目的：</w:t>
            </w:r>
          </w:p>
        </w:tc>
        <w:tc>
          <w:tcPr>
            <w:tcW w:w="8565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spacing w:line="412" w:lineRule="auto"/>
              <w:ind w:left="78" w:right="1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參考每年學校取錄非華語學生的數據，包括：人數、背景、種族、語言及年級分</w:t>
            </w:r>
            <w:r>
              <w:rPr>
                <w:spacing w:val="-11"/>
                <w:sz w:val="24"/>
              </w:rPr>
              <w:t>佈，讓教師及早掌握非華語學生的背景資源，有助</w:t>
            </w:r>
            <w:r>
              <w:rPr>
                <w:color w:val="212121"/>
                <w:sz w:val="24"/>
              </w:rPr>
              <w:t>提供適切生涯規劃訓練及活動予學生。</w:t>
            </w:r>
          </w:p>
        </w:tc>
      </w:tr>
      <w:tr>
        <w:trPr>
          <w:trHeight w:val="563" w:hRule="exact"/>
        </w:trPr>
        <w:tc>
          <w:tcPr>
            <w:tcW w:w="147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w w:val="95"/>
                <w:sz w:val="24"/>
              </w:rPr>
              <w:t>搜尋方法：</w:t>
            </w:r>
          </w:p>
        </w:tc>
        <w:tc>
          <w:tcPr>
            <w:tcW w:w="85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color w:val="212121"/>
                <w:sz w:val="24"/>
              </w:rPr>
              <w:t>可在校內資料庫內搜尋</w:t>
            </w:r>
          </w:p>
        </w:tc>
      </w:tr>
    </w:tbl>
    <w:sectPr>
      <w:headerReference w:type="default" r:id="rId11"/>
      <w:pgSz w:w="11910" w:h="16840"/>
      <w:pgMar w:header="782" w:footer="0" w:top="146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新細明體">
    <w:altName w:val="新細明體"/>
    <w:charset w:val="88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420013pt;margin-top:38.110607pt;width:38pt;height:14pt;mso-position-horizontal-relative:page;mso-position-vertical-relative:page;z-index:-7168" type="#_x0000_t202" filled="false" stroked="false">
          <v:textbox inset="0,0,0,0">
            <w:txbxContent>
              <w:p>
                <w:pPr>
                  <w:pStyle w:val="BodyText"/>
                  <w:spacing w:line="260" w:lineRule="exact"/>
                  <w:ind w:left="20"/>
                </w:pPr>
                <w:r>
                  <w:rPr>
                    <w:w w:val="95"/>
                  </w:rPr>
                  <w:t>附件一</w:t>
                </w:r>
              </w:p>
            </w:txbxContent>
          </v:textbox>
          <w10:wrap type="none"/>
        </v:shape>
      </w:pict>
    </w:r>
    <w:r>
      <w:rPr/>
      <w:pict>
        <v:shape style="position:absolute;margin-left:207.970001pt;margin-top:58.866623pt;width:179.25pt;height:15.3pt;mso-position-horizontal-relative:page;mso-position-vertical-relative:page;z-index:-7144" type="#_x0000_t202" filled="false" stroked="false">
          <v:textbox inset="0,0,0,0">
            <w:txbxContent>
              <w:p>
                <w:pPr>
                  <w:pStyle w:val="BodyText"/>
                  <w:spacing w:line="286" w:lineRule="exact"/>
                  <w:ind w:left="20"/>
                </w:pPr>
                <w:r>
                  <w:rPr>
                    <w:color w:val="212121"/>
                  </w:rPr>
                  <w:t>主題 </w:t>
                </w:r>
                <w:r>
                  <w:rPr>
                    <w:rFonts w:ascii="Times New Roman" w:eastAsia="Times New Roman"/>
                    <w:color w:val="212121"/>
                  </w:rPr>
                  <w:t>1</w:t>
                </w:r>
                <w:r>
                  <w:rPr>
                    <w:color w:val="212121"/>
                  </w:rPr>
                  <w:t>：與非華語社群相關的數據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98.420013pt;margin-top:38.230606pt;width:38pt;height:14pt;mso-position-horizontal-relative:page;mso-position-vertical-relative:page;z-index:-7120" type="#_x0000_t202" filled="false" stroked="false">
          <v:textbox inset="0,0,0,0">
            <w:txbxContent>
              <w:p>
                <w:pPr>
                  <w:pStyle w:val="BodyText"/>
                  <w:spacing w:line="260" w:lineRule="exact"/>
                  <w:ind w:left="20"/>
                </w:pPr>
                <w:r>
                  <w:rPr>
                    <w:w w:val="95"/>
                  </w:rPr>
                  <w:t>附件二</w:t>
                </w:r>
              </w:p>
            </w:txbxContent>
          </v:textbox>
          <w10:wrap type="none"/>
        </v:shape>
      </w:pict>
    </w:r>
    <w:r>
      <w:rPr/>
      <w:pict>
        <v:shape style="position:absolute;margin-left:207.970001pt;margin-top:58.866623pt;width:179.25pt;height:15.3pt;mso-position-horizontal-relative:page;mso-position-vertical-relative:page;z-index:-7096" type="#_x0000_t202" filled="false" stroked="false">
          <v:textbox inset="0,0,0,0">
            <w:txbxContent>
              <w:p>
                <w:pPr>
                  <w:pStyle w:val="BodyText"/>
                  <w:spacing w:line="286" w:lineRule="exact"/>
                  <w:ind w:left="20"/>
                </w:pPr>
                <w:r>
                  <w:rPr>
                    <w:color w:val="212121"/>
                  </w:rPr>
                  <w:t>主題 </w:t>
                </w:r>
                <w:r>
                  <w:rPr>
                    <w:rFonts w:ascii="Times New Roman" w:eastAsia="Times New Roman"/>
                    <w:color w:val="212121"/>
                  </w:rPr>
                  <w:t>1</w:t>
                </w:r>
                <w:r>
                  <w:rPr>
                    <w:color w:val="212121"/>
                  </w:rPr>
                  <w:t>：與非華語社群相關的數據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98.420013pt;margin-top:38.110607pt;width:38pt;height:14pt;mso-position-horizontal-relative:page;mso-position-vertical-relative:page;z-index:-7072" type="#_x0000_t202" filled="false" stroked="false">
          <v:textbox inset="0,0,0,0">
            <w:txbxContent>
              <w:p>
                <w:pPr>
                  <w:pStyle w:val="BodyText"/>
                  <w:spacing w:line="260" w:lineRule="exact"/>
                  <w:ind w:left="20"/>
                </w:pPr>
                <w:r>
                  <w:rPr>
                    <w:w w:val="95"/>
                  </w:rPr>
                  <w:t>附件三</w:t>
                </w:r>
              </w:p>
            </w:txbxContent>
          </v:textbox>
          <w10:wrap type="none"/>
        </v:shape>
      </w:pict>
    </w:r>
    <w:r>
      <w:rPr/>
      <w:pict>
        <v:shape style="position:absolute;margin-left:207.970001pt;margin-top:58.866623pt;width:179.25pt;height:15.3pt;mso-position-horizontal-relative:page;mso-position-vertical-relative:page;z-index:-7048" type="#_x0000_t202" filled="false" stroked="false">
          <v:textbox inset="0,0,0,0">
            <w:txbxContent>
              <w:p>
                <w:pPr>
                  <w:pStyle w:val="BodyText"/>
                  <w:spacing w:line="286" w:lineRule="exact"/>
                  <w:ind w:left="20"/>
                </w:pPr>
                <w:r>
                  <w:rPr>
                    <w:color w:val="212121"/>
                  </w:rPr>
                  <w:t>主題 </w:t>
                </w:r>
                <w:r>
                  <w:rPr>
                    <w:rFonts w:ascii="Times New Roman" w:eastAsia="Times New Roman"/>
                    <w:color w:val="212121"/>
                  </w:rPr>
                  <w:t>1</w:t>
                </w:r>
                <w:r>
                  <w:rPr>
                    <w:color w:val="212121"/>
                  </w:rPr>
                  <w:t>：與非華語社群相關的數據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98.420013pt;margin-top:38.110607pt;width:38pt;height:14pt;mso-position-horizontal-relative:page;mso-position-vertical-relative:page;z-index:-7024" type="#_x0000_t202" filled="false" stroked="false">
          <v:textbox inset="0,0,0,0">
            <w:txbxContent>
              <w:p>
                <w:pPr>
                  <w:pStyle w:val="BodyText"/>
                  <w:spacing w:line="260" w:lineRule="exact"/>
                  <w:ind w:left="20"/>
                </w:pPr>
                <w:r>
                  <w:rPr>
                    <w:w w:val="95"/>
                  </w:rPr>
                  <w:t>附件四</w:t>
                </w:r>
              </w:p>
            </w:txbxContent>
          </v:textbox>
          <w10:wrap type="none"/>
        </v:shape>
      </w:pict>
    </w:r>
    <w:r>
      <w:rPr/>
      <w:pict>
        <v:shape style="position:absolute;margin-left:207.970001pt;margin-top:58.866623pt;width:179.25pt;height:15.3pt;mso-position-horizontal-relative:page;mso-position-vertical-relative:page;z-index:-7000" type="#_x0000_t202" filled="false" stroked="false">
          <v:textbox inset="0,0,0,0">
            <w:txbxContent>
              <w:p>
                <w:pPr>
                  <w:pStyle w:val="BodyText"/>
                  <w:spacing w:line="286" w:lineRule="exact"/>
                  <w:ind w:left="20"/>
                </w:pPr>
                <w:r>
                  <w:rPr>
                    <w:color w:val="212121"/>
                  </w:rPr>
                  <w:t>主題 </w:t>
                </w:r>
                <w:r>
                  <w:rPr>
                    <w:rFonts w:ascii="Times New Roman" w:eastAsia="Times New Roman"/>
                    <w:color w:val="212121"/>
                  </w:rPr>
                  <w:t>1</w:t>
                </w:r>
                <w:r>
                  <w:rPr>
                    <w:color w:val="212121"/>
                  </w:rPr>
                  <w:t>：與非華語社群相關的數據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"/>
      <w:lvlJc w:val="left"/>
      <w:pPr>
        <w:ind w:left="571" w:hanging="480"/>
      </w:pPr>
      <w:rPr>
        <w:rFonts w:hint="default" w:ascii="Wingdings" w:hAnsi="Wingdings" w:eastAsia="Wingdings" w:cs="Wingdings"/>
        <w:color w:val="212121"/>
        <w:w w:val="100"/>
        <w:sz w:val="24"/>
        <w:szCs w:val="24"/>
      </w:rPr>
    </w:lvl>
    <w:lvl w:ilvl="1">
      <w:start w:val="0"/>
      <w:numFmt w:val="bullet"/>
      <w:lvlText w:val=""/>
      <w:lvlJc w:val="left"/>
      <w:pPr>
        <w:ind w:left="1051" w:hanging="480"/>
      </w:pPr>
      <w:rPr>
        <w:rFonts w:hint="default"/>
        <w:w w:val="100"/>
      </w:rPr>
    </w:lvl>
    <w:lvl w:ilvl="2">
      <w:start w:val="0"/>
      <w:numFmt w:val="bullet"/>
      <w:lvlText w:val="•"/>
      <w:lvlJc w:val="left"/>
      <w:pPr>
        <w:ind w:left="1892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24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56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8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0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52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84" w:hanging="48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9" w:hanging="360"/>
        <w:jc w:val="left"/>
      </w:pPr>
      <w:rPr>
        <w:rFonts w:hint="default" w:ascii="Times New Roman" w:hAnsi="Times New Roman" w:eastAsia="Times New Roman" w:cs="Times New Roman"/>
        <w:color w:val="21212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29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1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5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8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15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細明體" w:hAnsi="新細明體" w:eastAsia="新細明體" w:cs="新細明體"/>
    </w:rPr>
  </w:style>
  <w:style w:styleId="BodyText" w:type="paragraph">
    <w:name w:val="Body Text"/>
    <w:basedOn w:val="Normal"/>
    <w:uiPriority w:val="1"/>
    <w:qFormat/>
    <w:pPr/>
    <w:rPr>
      <w:rFonts w:ascii="新細明體" w:hAnsi="新細明體" w:eastAsia="新細明體" w:cs="新細明體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新細明體" w:hAnsi="新細明體" w:eastAsia="新細明體" w:cs="新細明體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censtatd.gov.hk/hkstat/sub/sp459_tc.jsp?productCode=B1120100" TargetMode="External"/><Relationship Id="rId7" Type="http://schemas.openxmlformats.org/officeDocument/2006/relationships/header" Target="header2.xml"/><Relationship Id="rId8" Type="http://schemas.openxmlformats.org/officeDocument/2006/relationships/hyperlink" Target="http://www.erb.org/md/tc/Activities/20160318.php" TargetMode="External"/><Relationship Id="rId9" Type="http://schemas.openxmlformats.org/officeDocument/2006/relationships/header" Target="header3.xml"/><Relationship Id="rId10" Type="http://schemas.openxmlformats.org/officeDocument/2006/relationships/hyperlink" Target="http://www.edb.gov.hk/tc/about-edb/publications-stat/figures/index_1.html" TargetMode="External"/><Relationship Id="rId11" Type="http://schemas.openxmlformats.org/officeDocument/2006/relationships/header" Target="header4.xm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Autumn</dc:creator>
  <dcterms:created xsi:type="dcterms:W3CDTF">2018-08-17T09:17:40Z</dcterms:created>
  <dcterms:modified xsi:type="dcterms:W3CDTF">2018-08-17T09:17:40Z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2018-08-17T00:00:00Z</vt:filetime>
  </property>
</Properties>
</file>