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542" w:val="left" w:leader="none"/>
        </w:tabs>
        <w:spacing w:before="48"/>
        <w:ind w:left="117" w:firstLine="0"/>
      </w:pPr>
      <w:bookmarkStart w:name="4 非華語中學生" w:id="1"/>
      <w:bookmarkEnd w:id="1"/>
      <w:r>
        <w:rPr>
          <w:b w:val="0"/>
        </w:rPr>
      </w:r>
      <w:r>
        <w:rPr>
          <w:rFonts w:ascii="Times New Roman" w:eastAsia="Times New Roman"/>
        </w:rPr>
        <w:t>4</w:t>
        <w:tab/>
      </w:r>
      <w:r>
        <w:rPr/>
        <w:t>非華語中學生</w:t>
      </w:r>
    </w:p>
    <w:p>
      <w:pPr>
        <w:pStyle w:val="BodyText"/>
        <w:spacing w:line="357" w:lineRule="auto" w:before="233"/>
        <w:ind w:left="537" w:right="359" w:firstLine="657"/>
        <w:jc w:val="both"/>
      </w:pPr>
      <w:r>
        <w:rPr/>
        <w:t>本計劃以非華語中學生為服務對象，在本計劃內，非華語中學生泛指不以粵語為母語的中學生，這些學生包括：</w:t>
      </w:r>
    </w:p>
    <w:p>
      <w:pPr>
        <w:pStyle w:val="ListParagraph"/>
        <w:numPr>
          <w:ilvl w:val="0"/>
          <w:numId w:val="1"/>
        </w:numPr>
        <w:tabs>
          <w:tab w:pos="1588" w:val="left" w:leader="none"/>
          <w:tab w:pos="1589" w:val="left" w:leader="none"/>
        </w:tabs>
        <w:spacing w:line="355" w:lineRule="auto" w:before="35" w:after="0"/>
        <w:ind w:left="1588" w:right="355" w:hanging="480"/>
        <w:jc w:val="left"/>
        <w:rPr>
          <w:sz w:val="24"/>
        </w:rPr>
      </w:pPr>
      <w:r>
        <w:rPr>
          <w:spacing w:val="-5"/>
          <w:sz w:val="24"/>
        </w:rPr>
        <w:t>非華裔學生</w:t>
      </w:r>
      <w:r>
        <w:rPr>
          <w:sz w:val="24"/>
        </w:rPr>
        <w:t>（</w:t>
      </w:r>
      <w:r>
        <w:rPr>
          <w:spacing w:val="-9"/>
          <w:sz w:val="24"/>
        </w:rPr>
        <w:t>包括少數族裔學生如：巴基斯坦裔、尼泊爾裔、印度裔、菲律賓裔等）；及</w:t>
      </w:r>
    </w:p>
    <w:p>
      <w:pPr>
        <w:pStyle w:val="ListParagraph"/>
        <w:numPr>
          <w:ilvl w:val="0"/>
          <w:numId w:val="1"/>
        </w:numPr>
        <w:tabs>
          <w:tab w:pos="1588" w:val="left" w:leader="none"/>
          <w:tab w:pos="1589" w:val="left" w:leader="none"/>
        </w:tabs>
        <w:spacing w:line="355" w:lineRule="auto" w:before="40" w:after="0"/>
        <w:ind w:left="1588" w:right="355" w:hanging="480"/>
        <w:jc w:val="left"/>
        <w:rPr>
          <w:sz w:val="24"/>
        </w:rPr>
      </w:pPr>
      <w:r>
        <w:rPr>
          <w:spacing w:val="-14"/>
          <w:sz w:val="24"/>
        </w:rPr>
        <w:t>不諳華語的華裔學生</w:t>
      </w:r>
      <w:r>
        <w:rPr>
          <w:sz w:val="24"/>
        </w:rPr>
        <w:t>（</w:t>
      </w:r>
      <w:r>
        <w:rPr>
          <w:spacing w:val="-14"/>
          <w:sz w:val="24"/>
        </w:rPr>
        <w:t>受個人或家庭背景影響導致不諳華語，例如：非香港出生， 並於外地生活一段頗長的時間、家庭慣用語言為非華語等）</w:t>
      </w:r>
    </w:p>
    <w:p>
      <w:pPr>
        <w:pStyle w:val="BodyText"/>
        <w:spacing w:line="357" w:lineRule="auto" w:before="38"/>
        <w:ind w:left="537" w:right="355" w:firstLine="657"/>
        <w:jc w:val="both"/>
      </w:pPr>
      <w:r>
        <w:rPr/>
        <w:t>上述學生現正於本地官立學校、津貼學校或直資學校就讀高中課程，由於非華語中</w:t>
      </w:r>
      <w:r>
        <w:rPr>
          <w:spacing w:val="-4"/>
        </w:rPr>
        <w:t>學生在語言及文化方面具有獨特性，因此在為他們舉辦與升學及就業相關之活動時，成長嚮導同盟應留意以下特點：</w:t>
      </w:r>
    </w:p>
    <w:p>
      <w:pPr>
        <w:pStyle w:val="Heading1"/>
        <w:numPr>
          <w:ilvl w:val="0"/>
          <w:numId w:val="1"/>
        </w:numPr>
        <w:tabs>
          <w:tab w:pos="1588" w:val="left" w:leader="none"/>
          <w:tab w:pos="1589" w:val="left" w:leader="none"/>
        </w:tabs>
        <w:spacing w:line="240" w:lineRule="auto" w:before="36" w:after="0"/>
        <w:ind w:left="1588" w:right="0" w:hanging="480"/>
        <w:jc w:val="left"/>
      </w:pPr>
      <w:r>
        <w:rPr>
          <w:w w:val="95"/>
        </w:rPr>
        <w:t>背景</w:t>
      </w:r>
    </w:p>
    <w:p>
      <w:pPr>
        <w:pStyle w:val="ListParagraph"/>
        <w:numPr>
          <w:ilvl w:val="1"/>
          <w:numId w:val="1"/>
        </w:numPr>
        <w:tabs>
          <w:tab w:pos="2068" w:val="left" w:leader="none"/>
          <w:tab w:pos="2069" w:val="left" w:leader="none"/>
        </w:tabs>
        <w:spacing w:line="240" w:lineRule="auto" w:before="140" w:after="0"/>
        <w:ind w:left="2068" w:right="0" w:hanging="480"/>
        <w:jc w:val="left"/>
        <w:rPr>
          <w:sz w:val="24"/>
        </w:rPr>
      </w:pPr>
      <w:r>
        <w:rPr>
          <w:w w:val="95"/>
          <w:sz w:val="24"/>
        </w:rPr>
        <w:t>非華語學生</w:t>
      </w:r>
      <w:r>
        <w:rPr>
          <w:b/>
          <w:i/>
          <w:w w:val="95"/>
          <w:sz w:val="25"/>
        </w:rPr>
        <w:t>來港年期差異較大</w:t>
      </w:r>
      <w:r>
        <w:rPr>
          <w:spacing w:val="-1"/>
          <w:w w:val="95"/>
          <w:sz w:val="24"/>
        </w:rPr>
        <w:t>，學習中文的起步點各有不同</w:t>
      </w:r>
    </w:p>
    <w:p>
      <w:pPr>
        <w:pStyle w:val="ListParagraph"/>
        <w:numPr>
          <w:ilvl w:val="2"/>
          <w:numId w:val="1"/>
        </w:numPr>
        <w:tabs>
          <w:tab w:pos="2517" w:val="left" w:leader="none"/>
          <w:tab w:pos="2518" w:val="left" w:leader="none"/>
        </w:tabs>
        <w:spacing w:line="352" w:lineRule="auto" w:before="151" w:after="0"/>
        <w:ind w:left="2517" w:right="353" w:hanging="415"/>
        <w:jc w:val="left"/>
        <w:rPr>
          <w:sz w:val="24"/>
        </w:rPr>
      </w:pPr>
      <w:r>
        <w:rPr>
          <w:spacing w:val="-5"/>
          <w:sz w:val="24"/>
        </w:rPr>
        <w:t>部分學生生於已於早年移居本港的非華語家庭，學生於本港出生，較易</w:t>
      </w:r>
      <w:r>
        <w:rPr>
          <w:spacing w:val="-5"/>
          <w:w w:val="95"/>
          <w:sz w:val="24"/>
        </w:rPr>
        <w:t>融入本地教育體制及就業市場</w:t>
      </w:r>
    </w:p>
    <w:p>
      <w:pPr>
        <w:pStyle w:val="ListParagraph"/>
        <w:numPr>
          <w:ilvl w:val="2"/>
          <w:numId w:val="1"/>
        </w:numPr>
        <w:tabs>
          <w:tab w:pos="2517" w:val="left" w:leader="none"/>
          <w:tab w:pos="2518" w:val="left" w:leader="none"/>
        </w:tabs>
        <w:spacing w:line="240" w:lineRule="auto" w:before="43" w:after="0"/>
        <w:ind w:left="2517" w:right="0" w:hanging="415"/>
        <w:jc w:val="left"/>
        <w:rPr>
          <w:sz w:val="24"/>
        </w:rPr>
      </w:pPr>
      <w:r>
        <w:rPr>
          <w:spacing w:val="-7"/>
          <w:w w:val="95"/>
          <w:sz w:val="24"/>
        </w:rPr>
        <w:t>部分學生屬剛來港人士，未能掌握本地教育體制及就業市場，適應需時</w:t>
      </w:r>
    </w:p>
    <w:p>
      <w:pPr>
        <w:pStyle w:val="Heading1"/>
        <w:numPr>
          <w:ilvl w:val="0"/>
          <w:numId w:val="1"/>
        </w:numPr>
        <w:tabs>
          <w:tab w:pos="1588" w:val="left" w:leader="none"/>
          <w:tab w:pos="1589" w:val="left" w:leader="none"/>
        </w:tabs>
        <w:spacing w:line="240" w:lineRule="auto" w:before="149" w:after="0"/>
        <w:ind w:left="1588" w:right="0" w:hanging="480"/>
        <w:jc w:val="left"/>
      </w:pPr>
      <w:r>
        <w:rPr>
          <w:w w:val="95"/>
        </w:rPr>
        <w:t>教育水平</w:t>
      </w:r>
    </w:p>
    <w:p>
      <w:pPr>
        <w:pStyle w:val="ListParagraph"/>
        <w:numPr>
          <w:ilvl w:val="1"/>
          <w:numId w:val="1"/>
        </w:numPr>
        <w:tabs>
          <w:tab w:pos="2068" w:val="left" w:leader="none"/>
          <w:tab w:pos="2069" w:val="left" w:leader="none"/>
        </w:tabs>
        <w:spacing w:line="240" w:lineRule="auto" w:before="139" w:after="0"/>
        <w:ind w:left="2068" w:right="0" w:hanging="480"/>
        <w:jc w:val="left"/>
        <w:rPr>
          <w:sz w:val="24"/>
        </w:rPr>
      </w:pPr>
      <w:r>
        <w:rPr>
          <w:spacing w:val="-7"/>
          <w:w w:val="95"/>
          <w:sz w:val="24"/>
        </w:rPr>
        <w:t>大部分學生語言能力高，</w:t>
      </w:r>
      <w:r>
        <w:rPr>
          <w:b/>
          <w:i/>
          <w:spacing w:val="-12"/>
          <w:w w:val="95"/>
          <w:sz w:val="25"/>
        </w:rPr>
        <w:t>精通多種方言</w:t>
      </w:r>
      <w:r>
        <w:rPr>
          <w:w w:val="95"/>
          <w:sz w:val="24"/>
        </w:rPr>
        <w:t>（</w:t>
      </w:r>
      <w:r>
        <w:rPr>
          <w:spacing w:val="-18"/>
          <w:w w:val="95"/>
          <w:sz w:val="24"/>
        </w:rPr>
        <w:t>如：母語、英語、粵語或其他方言</w:t>
      </w:r>
      <w:r>
        <w:rPr>
          <w:w w:val="95"/>
          <w:sz w:val="24"/>
        </w:rPr>
        <w:t>）</w:t>
      </w:r>
    </w:p>
    <w:p>
      <w:pPr>
        <w:pStyle w:val="ListParagraph"/>
        <w:numPr>
          <w:ilvl w:val="1"/>
          <w:numId w:val="1"/>
        </w:numPr>
        <w:tabs>
          <w:tab w:pos="2068" w:val="left" w:leader="none"/>
          <w:tab w:pos="2069" w:val="left" w:leader="none"/>
        </w:tabs>
        <w:spacing w:line="240" w:lineRule="auto" w:before="150" w:after="0"/>
        <w:ind w:left="2068" w:right="0" w:hanging="480"/>
        <w:jc w:val="left"/>
        <w:rPr>
          <w:sz w:val="24"/>
        </w:rPr>
      </w:pPr>
      <w:r>
        <w:rPr>
          <w:sz w:val="24"/>
        </w:rPr>
        <w:t>明白學習中文的重要性，學習以粵語／普通話與華裔人士溝通</w:t>
      </w:r>
    </w:p>
    <w:p>
      <w:pPr>
        <w:pStyle w:val="ListParagraph"/>
        <w:numPr>
          <w:ilvl w:val="2"/>
          <w:numId w:val="1"/>
        </w:numPr>
        <w:tabs>
          <w:tab w:pos="2517" w:val="left" w:leader="none"/>
          <w:tab w:pos="2518" w:val="left" w:leader="none"/>
        </w:tabs>
        <w:spacing w:line="240" w:lineRule="auto" w:before="139" w:after="0"/>
        <w:ind w:left="2517" w:right="0" w:hanging="415"/>
        <w:jc w:val="left"/>
        <w:rPr>
          <w:b/>
          <w:i/>
          <w:sz w:val="25"/>
        </w:rPr>
      </w:pPr>
      <w:r>
        <w:rPr>
          <w:w w:val="95"/>
          <w:sz w:val="24"/>
        </w:rPr>
        <w:t>雖然非華語學生不以粵語為母語，但</w:t>
      </w:r>
      <w:r>
        <w:rPr>
          <w:b/>
          <w:i/>
          <w:w w:val="95"/>
          <w:sz w:val="25"/>
        </w:rPr>
        <w:t>願意融入本地社會，學習中文</w:t>
      </w:r>
    </w:p>
    <w:p>
      <w:pPr>
        <w:pStyle w:val="ListParagraph"/>
        <w:numPr>
          <w:ilvl w:val="2"/>
          <w:numId w:val="1"/>
        </w:numPr>
        <w:tabs>
          <w:tab w:pos="2517" w:val="left" w:leader="none"/>
          <w:tab w:pos="2518" w:val="left" w:leader="none"/>
        </w:tabs>
        <w:spacing w:line="355" w:lineRule="auto" w:before="149" w:after="0"/>
        <w:ind w:left="2517" w:right="113" w:hanging="415"/>
        <w:jc w:val="left"/>
        <w:rPr>
          <w:sz w:val="24"/>
        </w:rPr>
      </w:pPr>
      <w:r>
        <w:rPr>
          <w:sz w:val="24"/>
        </w:rPr>
        <w:t>在校內修讀中國語文課程並報考教育局認可的其他中國語文考試課程 </w:t>
      </w:r>
      <w:hyperlink w:history="true" w:anchor="_bookmark0">
        <w:r>
          <w:rPr>
            <w:rFonts w:ascii="Times New Roman" w:eastAsia="Times New Roman"/>
            <w:position w:val="11"/>
            <w:sz w:val="16"/>
          </w:rPr>
          <w:t>1</w:t>
        </w:r>
      </w:hyperlink>
      <w:r>
        <w:rPr>
          <w:sz w:val="24"/>
        </w:rPr>
        <w:t>， </w:t>
      </w:r>
      <w:r>
        <w:rPr>
          <w:spacing w:val="4"/>
          <w:sz w:val="24"/>
        </w:rPr>
        <w:t>與供非華語學生修讀的其他中國語文考試課程與本地中國語文內容相  </w:t>
      </w:r>
      <w:r>
        <w:rPr>
          <w:spacing w:val="-18"/>
          <w:sz w:val="24"/>
        </w:rPr>
        <w:t>比，程度較淺，雖然能使學生能由淺入深學習中國語文並取得認可資歷， 但學生的</w:t>
      </w:r>
      <w:r>
        <w:rPr>
          <w:b/>
          <w:i/>
          <w:spacing w:val="-21"/>
          <w:sz w:val="25"/>
        </w:rPr>
        <w:t>中文語言能力始終較弱</w:t>
      </w:r>
      <w:r>
        <w:rPr>
          <w:spacing w:val="-7"/>
          <w:sz w:val="24"/>
        </w:rPr>
        <w:t>。非華語學生從在學時所習得的中文語</w:t>
      </w:r>
      <w:r>
        <w:rPr>
          <w:spacing w:val="-9"/>
          <w:sz w:val="24"/>
        </w:rPr>
        <w:t>言能力水平不足以應付真實社會</w:t>
      </w:r>
      <w:r>
        <w:rPr>
          <w:sz w:val="24"/>
        </w:rPr>
        <w:t>（升學／就業</w:t>
      </w:r>
      <w:r>
        <w:rPr>
          <w:spacing w:val="-29"/>
          <w:sz w:val="24"/>
        </w:rPr>
        <w:t>）</w:t>
      </w:r>
      <w:r>
        <w:rPr>
          <w:spacing w:val="-6"/>
          <w:sz w:val="24"/>
        </w:rPr>
        <w:t>的需要，由學校過渡到 職場時，非華語學生將面對一定困難</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7"/>
        <w:ind w:left="0" w:firstLine="0"/>
        <w:rPr>
          <w:sz w:val="14"/>
        </w:rPr>
      </w:pPr>
      <w:r>
        <w:rPr/>
        <w:pict>
          <v:line style="position:absolute;mso-position-horizontal-relative:page;mso-position-vertical-relative:paragraph;z-index:0;mso-wrap-distance-left:0;mso-wrap-distance-right:0" from="53.880001pt,11.906817pt" to="197.880001pt,11.906817pt" stroked="true" strokeweight=".84pt" strokecolor="#000000">
            <v:stroke dashstyle="solid"/>
            <w10:wrap type="topAndBottom"/>
          </v:line>
        </w:pict>
      </w:r>
    </w:p>
    <w:p>
      <w:pPr>
        <w:spacing w:line="271" w:lineRule="auto" w:before="46"/>
        <w:ind w:left="258" w:right="356" w:hanging="142"/>
        <w:jc w:val="left"/>
        <w:rPr>
          <w:rFonts w:ascii="Times New Roman" w:eastAsia="Times New Roman"/>
          <w:sz w:val="20"/>
        </w:rPr>
      </w:pPr>
      <w:bookmarkStart w:name="_bookmark0" w:id="2"/>
      <w:bookmarkEnd w:id="2"/>
      <w:r>
        <w:rPr/>
      </w:r>
      <w:r>
        <w:rPr>
          <w:rFonts w:ascii="Times New Roman" w:eastAsia="Times New Roman"/>
          <w:position w:val="9"/>
          <w:sz w:val="13"/>
        </w:rPr>
        <w:t>1</w:t>
      </w:r>
      <w:r>
        <w:rPr>
          <w:rFonts w:ascii="Times New Roman" w:eastAsia="Times New Roman"/>
          <w:spacing w:val="24"/>
          <w:position w:val="9"/>
          <w:sz w:val="13"/>
        </w:rPr>
        <w:t> </w:t>
      </w:r>
      <w:r>
        <w:rPr>
          <w:spacing w:val="-10"/>
          <w:sz w:val="20"/>
        </w:rPr>
        <w:t>其他中國語文即：國際普通中學教育文憑考試</w:t>
      </w:r>
      <w:r>
        <w:rPr>
          <w:rFonts w:ascii="Times New Roman" w:eastAsia="Times New Roman"/>
          <w:spacing w:val="-8"/>
          <w:sz w:val="20"/>
        </w:rPr>
        <w:t>(IGCSE)</w:t>
      </w:r>
      <w:r>
        <w:rPr>
          <w:spacing w:val="-7"/>
          <w:sz w:val="20"/>
        </w:rPr>
        <w:t>、普通中學教育文憑考試</w:t>
      </w:r>
      <w:r>
        <w:rPr>
          <w:rFonts w:ascii="Times New Roman" w:eastAsia="Times New Roman"/>
          <w:spacing w:val="-8"/>
          <w:sz w:val="20"/>
        </w:rPr>
        <w:t>(GCSE)</w:t>
      </w:r>
      <w:r>
        <w:rPr>
          <w:spacing w:val="-8"/>
          <w:sz w:val="20"/>
        </w:rPr>
        <w:t>、普通教育文憑考試</w:t>
      </w:r>
      <w:r>
        <w:rPr>
          <w:rFonts w:ascii="Times New Roman" w:eastAsia="Times New Roman"/>
          <w:sz w:val="20"/>
        </w:rPr>
        <w:t>(GCE) </w:t>
      </w:r>
      <w:r>
        <w:rPr>
          <w:sz w:val="20"/>
        </w:rPr>
        <w:t>或應用學習中文科</w:t>
      </w:r>
      <w:r>
        <w:rPr>
          <w:rFonts w:ascii="Times New Roman" w:eastAsia="Times New Roman"/>
          <w:sz w:val="20"/>
        </w:rPr>
        <w:t>(Applied</w:t>
      </w:r>
      <w:r>
        <w:rPr>
          <w:rFonts w:ascii="Times New Roman" w:eastAsia="Times New Roman"/>
          <w:spacing w:val="-5"/>
          <w:sz w:val="20"/>
        </w:rPr>
        <w:t> </w:t>
      </w:r>
      <w:r>
        <w:rPr>
          <w:rFonts w:ascii="Times New Roman" w:eastAsia="Times New Roman"/>
          <w:sz w:val="20"/>
        </w:rPr>
        <w:t>Learning</w:t>
      </w:r>
      <w:r>
        <w:rPr>
          <w:rFonts w:ascii="Times New Roman" w:eastAsia="Times New Roman"/>
          <w:spacing w:val="-7"/>
          <w:sz w:val="20"/>
        </w:rPr>
        <w:t> </w:t>
      </w:r>
      <w:r>
        <w:rPr>
          <w:rFonts w:ascii="Times New Roman" w:eastAsia="Times New Roman"/>
          <w:sz w:val="20"/>
        </w:rPr>
        <w:t>Chinese</w:t>
      </w:r>
      <w:r>
        <w:rPr>
          <w:rFonts w:ascii="Times New Roman" w:eastAsia="Times New Roman"/>
          <w:spacing w:val="-3"/>
          <w:sz w:val="20"/>
        </w:rPr>
        <w:t> </w:t>
      </w:r>
      <w:r>
        <w:rPr>
          <w:rFonts w:ascii="Times New Roman" w:eastAsia="Times New Roman"/>
          <w:sz w:val="20"/>
        </w:rPr>
        <w:t>for</w:t>
      </w:r>
      <w:r>
        <w:rPr>
          <w:rFonts w:ascii="Times New Roman" w:eastAsia="Times New Roman"/>
          <w:spacing w:val="-5"/>
          <w:sz w:val="20"/>
        </w:rPr>
        <w:t> </w:t>
      </w:r>
      <w:r>
        <w:rPr>
          <w:rFonts w:ascii="Times New Roman" w:eastAsia="Times New Roman"/>
          <w:sz w:val="20"/>
        </w:rPr>
        <w:t>non-Chinese</w:t>
      </w:r>
      <w:r>
        <w:rPr>
          <w:rFonts w:ascii="Times New Roman" w:eastAsia="Times New Roman"/>
          <w:spacing w:val="-6"/>
          <w:sz w:val="20"/>
        </w:rPr>
        <w:t> </w:t>
      </w:r>
      <w:r>
        <w:rPr>
          <w:rFonts w:ascii="Times New Roman" w:eastAsia="Times New Roman"/>
          <w:sz w:val="20"/>
        </w:rPr>
        <w:t>speaking</w:t>
      </w:r>
      <w:r>
        <w:rPr>
          <w:rFonts w:ascii="Times New Roman" w:eastAsia="Times New Roman"/>
          <w:spacing w:val="-7"/>
          <w:sz w:val="20"/>
        </w:rPr>
        <w:t> </w:t>
      </w:r>
      <w:r>
        <w:rPr>
          <w:rFonts w:ascii="Times New Roman" w:eastAsia="Times New Roman"/>
          <w:sz w:val="20"/>
        </w:rPr>
        <w:t>students)</w:t>
      </w:r>
    </w:p>
    <w:p>
      <w:pPr>
        <w:spacing w:after="0" w:line="271" w:lineRule="auto"/>
        <w:jc w:val="left"/>
        <w:rPr>
          <w:rFonts w:ascii="Times New Roman" w:eastAsia="Times New Roman"/>
          <w:sz w:val="20"/>
        </w:rPr>
        <w:sectPr>
          <w:type w:val="continuous"/>
          <w:pgSz w:w="11910" w:h="16840"/>
          <w:pgMar w:top="1580" w:bottom="280" w:left="960" w:right="720"/>
        </w:sectPr>
      </w:pPr>
    </w:p>
    <w:p>
      <w:pPr>
        <w:pStyle w:val="Heading1"/>
        <w:numPr>
          <w:ilvl w:val="0"/>
          <w:numId w:val="2"/>
        </w:numPr>
        <w:tabs>
          <w:tab w:pos="868" w:val="left" w:leader="none"/>
          <w:tab w:pos="869" w:val="left" w:leader="none"/>
        </w:tabs>
        <w:spacing w:line="240" w:lineRule="auto" w:before="28" w:after="0"/>
        <w:ind w:left="868" w:right="0" w:hanging="480"/>
        <w:jc w:val="left"/>
      </w:pPr>
      <w:r>
        <w:rPr>
          <w:w w:val="95"/>
        </w:rPr>
        <w:t>生活模式</w:t>
      </w:r>
    </w:p>
    <w:p>
      <w:pPr>
        <w:pStyle w:val="ListParagraph"/>
        <w:numPr>
          <w:ilvl w:val="1"/>
          <w:numId w:val="2"/>
        </w:numPr>
        <w:tabs>
          <w:tab w:pos="1348" w:val="left" w:leader="none"/>
          <w:tab w:pos="1349" w:val="left" w:leader="none"/>
        </w:tabs>
        <w:spacing w:line="240" w:lineRule="auto" w:before="151" w:after="0"/>
        <w:ind w:left="1348" w:right="0" w:hanging="480"/>
        <w:jc w:val="left"/>
        <w:rPr>
          <w:b/>
          <w:sz w:val="24"/>
        </w:rPr>
      </w:pPr>
      <w:r>
        <w:rPr>
          <w:sz w:val="24"/>
        </w:rPr>
        <w:t>非華語學生</w:t>
      </w:r>
      <w:r>
        <w:rPr>
          <w:b/>
          <w:sz w:val="24"/>
        </w:rPr>
        <w:t>融入本地社會，但同時保留傳統文化</w:t>
      </w:r>
    </w:p>
    <w:p>
      <w:pPr>
        <w:pStyle w:val="ListParagraph"/>
        <w:numPr>
          <w:ilvl w:val="1"/>
          <w:numId w:val="2"/>
        </w:numPr>
        <w:tabs>
          <w:tab w:pos="1348" w:val="left" w:leader="none"/>
          <w:tab w:pos="1349" w:val="left" w:leader="none"/>
        </w:tabs>
        <w:spacing w:line="240" w:lineRule="auto" w:before="140" w:after="0"/>
        <w:ind w:left="1348" w:right="0" w:hanging="480"/>
        <w:jc w:val="left"/>
        <w:rPr>
          <w:b/>
          <w:i/>
          <w:sz w:val="25"/>
        </w:rPr>
      </w:pPr>
      <w:r>
        <w:rPr>
          <w:w w:val="95"/>
          <w:sz w:val="24"/>
        </w:rPr>
        <w:t>非華語學生根據其所屬族裔，各自</w:t>
      </w:r>
      <w:r>
        <w:rPr>
          <w:b/>
          <w:i/>
          <w:w w:val="95"/>
          <w:sz w:val="25"/>
        </w:rPr>
        <w:t>具有傳統文化的生活習性</w:t>
      </w:r>
    </w:p>
    <w:p>
      <w:pPr>
        <w:pStyle w:val="ListParagraph"/>
        <w:numPr>
          <w:ilvl w:val="2"/>
          <w:numId w:val="2"/>
        </w:numPr>
        <w:tabs>
          <w:tab w:pos="1797" w:val="left" w:leader="none"/>
          <w:tab w:pos="1798" w:val="left" w:leader="none"/>
        </w:tabs>
        <w:spacing w:line="240" w:lineRule="auto" w:before="151" w:after="0"/>
        <w:ind w:left="1797" w:right="0" w:hanging="415"/>
        <w:jc w:val="left"/>
        <w:rPr>
          <w:sz w:val="24"/>
        </w:rPr>
      </w:pPr>
      <w:r>
        <w:rPr>
          <w:w w:val="95"/>
          <w:sz w:val="24"/>
        </w:rPr>
        <w:t>傳統節日或慶典</w:t>
      </w:r>
    </w:p>
    <w:p>
      <w:pPr>
        <w:pStyle w:val="ListParagraph"/>
        <w:numPr>
          <w:ilvl w:val="2"/>
          <w:numId w:val="2"/>
        </w:numPr>
        <w:tabs>
          <w:tab w:pos="1797" w:val="left" w:leader="none"/>
          <w:tab w:pos="1798" w:val="left" w:leader="none"/>
        </w:tabs>
        <w:spacing w:line="240" w:lineRule="auto" w:before="149" w:after="0"/>
        <w:ind w:left="1797" w:right="0" w:hanging="415"/>
        <w:jc w:val="left"/>
        <w:rPr>
          <w:sz w:val="24"/>
        </w:rPr>
      </w:pPr>
      <w:r>
        <w:rPr>
          <w:w w:val="95"/>
          <w:sz w:val="24"/>
        </w:rPr>
        <w:t>飲食文化</w:t>
      </w:r>
    </w:p>
    <w:p>
      <w:pPr>
        <w:pStyle w:val="ListParagraph"/>
        <w:numPr>
          <w:ilvl w:val="2"/>
          <w:numId w:val="2"/>
        </w:numPr>
        <w:tabs>
          <w:tab w:pos="1797" w:val="left" w:leader="none"/>
          <w:tab w:pos="1798" w:val="left" w:leader="none"/>
        </w:tabs>
        <w:spacing w:line="240" w:lineRule="auto" w:before="151" w:after="0"/>
        <w:ind w:left="1797" w:right="0" w:hanging="415"/>
        <w:jc w:val="left"/>
        <w:rPr>
          <w:sz w:val="24"/>
        </w:rPr>
      </w:pPr>
      <w:r>
        <w:rPr>
          <w:w w:val="95"/>
          <w:sz w:val="24"/>
        </w:rPr>
        <w:t>穿著傳統服飾</w:t>
      </w:r>
    </w:p>
    <w:p>
      <w:pPr>
        <w:pStyle w:val="ListParagraph"/>
        <w:numPr>
          <w:ilvl w:val="1"/>
          <w:numId w:val="2"/>
        </w:numPr>
        <w:tabs>
          <w:tab w:pos="1348" w:val="left" w:leader="none"/>
          <w:tab w:pos="1349" w:val="left" w:leader="none"/>
        </w:tabs>
        <w:spacing w:line="240" w:lineRule="auto" w:before="138" w:after="0"/>
        <w:ind w:left="1348" w:right="0" w:hanging="480"/>
        <w:jc w:val="left"/>
        <w:rPr>
          <w:b/>
          <w:i/>
          <w:sz w:val="25"/>
        </w:rPr>
      </w:pPr>
      <w:r>
        <w:rPr>
          <w:w w:val="95"/>
          <w:sz w:val="24"/>
        </w:rPr>
        <w:t>大部分非華語學生有自己信奉的</w:t>
      </w:r>
      <w:r>
        <w:rPr>
          <w:b/>
          <w:i/>
          <w:w w:val="95"/>
          <w:sz w:val="25"/>
        </w:rPr>
        <w:t>宗教信仰</w:t>
      </w:r>
    </w:p>
    <w:p>
      <w:pPr>
        <w:pStyle w:val="ListParagraph"/>
        <w:numPr>
          <w:ilvl w:val="2"/>
          <w:numId w:val="2"/>
        </w:numPr>
        <w:tabs>
          <w:tab w:pos="1797" w:val="left" w:leader="none"/>
          <w:tab w:pos="1798" w:val="left" w:leader="none"/>
        </w:tabs>
        <w:spacing w:line="240" w:lineRule="auto" w:before="151" w:after="0"/>
        <w:ind w:left="1797" w:right="0" w:hanging="415"/>
        <w:jc w:val="left"/>
        <w:rPr>
          <w:sz w:val="24"/>
        </w:rPr>
      </w:pPr>
      <w:r>
        <w:rPr>
          <w:w w:val="95"/>
          <w:sz w:val="24"/>
        </w:rPr>
        <w:t>佩戴信物</w:t>
      </w:r>
    </w:p>
    <w:p>
      <w:pPr>
        <w:pStyle w:val="ListParagraph"/>
        <w:numPr>
          <w:ilvl w:val="2"/>
          <w:numId w:val="2"/>
        </w:numPr>
        <w:tabs>
          <w:tab w:pos="1797" w:val="left" w:leader="none"/>
          <w:tab w:pos="1798" w:val="left" w:leader="none"/>
        </w:tabs>
        <w:spacing w:line="240" w:lineRule="auto" w:before="150" w:after="0"/>
        <w:ind w:left="1797" w:right="0" w:hanging="415"/>
        <w:jc w:val="left"/>
        <w:rPr>
          <w:sz w:val="24"/>
        </w:rPr>
      </w:pPr>
      <w:r>
        <w:rPr>
          <w:w w:val="95"/>
          <w:sz w:val="24"/>
        </w:rPr>
        <w:t>遵守宗教的教義及規條（例如：祈禱儀式）</w:t>
      </w:r>
    </w:p>
    <w:p>
      <w:pPr>
        <w:pStyle w:val="Heading1"/>
        <w:numPr>
          <w:ilvl w:val="0"/>
          <w:numId w:val="2"/>
        </w:numPr>
        <w:tabs>
          <w:tab w:pos="868" w:val="left" w:leader="none"/>
          <w:tab w:pos="869" w:val="left" w:leader="none"/>
        </w:tabs>
        <w:spacing w:line="240" w:lineRule="auto" w:before="150" w:after="0"/>
        <w:ind w:left="868" w:right="0" w:hanging="480"/>
        <w:jc w:val="left"/>
      </w:pPr>
      <w:r>
        <w:rPr>
          <w:w w:val="95"/>
        </w:rPr>
        <w:t>其他特徵</w:t>
      </w:r>
    </w:p>
    <w:p>
      <w:pPr>
        <w:pStyle w:val="ListParagraph"/>
        <w:numPr>
          <w:ilvl w:val="1"/>
          <w:numId w:val="2"/>
        </w:numPr>
        <w:tabs>
          <w:tab w:pos="1348" w:val="left" w:leader="none"/>
          <w:tab w:pos="1349" w:val="left" w:leader="none"/>
        </w:tabs>
        <w:spacing w:line="240" w:lineRule="auto" w:before="140" w:after="0"/>
        <w:ind w:left="1348" w:right="0" w:hanging="480"/>
        <w:jc w:val="left"/>
        <w:rPr>
          <w:b/>
          <w:i/>
          <w:sz w:val="25"/>
        </w:rPr>
      </w:pPr>
      <w:r>
        <w:rPr>
          <w:w w:val="95"/>
          <w:sz w:val="24"/>
        </w:rPr>
        <w:t>非華語學生（少數族裔尤甚）的</w:t>
      </w:r>
      <w:r>
        <w:rPr>
          <w:b/>
          <w:i/>
          <w:w w:val="95"/>
          <w:sz w:val="25"/>
        </w:rPr>
        <w:t>家庭角色相對較高</w:t>
      </w:r>
    </w:p>
    <w:p>
      <w:pPr>
        <w:pStyle w:val="ListParagraph"/>
        <w:numPr>
          <w:ilvl w:val="2"/>
          <w:numId w:val="2"/>
        </w:numPr>
        <w:tabs>
          <w:tab w:pos="1797" w:val="left" w:leader="none"/>
          <w:tab w:pos="1798" w:val="left" w:leader="none"/>
        </w:tabs>
        <w:spacing w:line="240" w:lineRule="auto" w:before="151" w:after="0"/>
        <w:ind w:left="1797" w:right="0" w:hanging="415"/>
        <w:jc w:val="left"/>
        <w:rPr>
          <w:sz w:val="24"/>
        </w:rPr>
      </w:pPr>
      <w:r>
        <w:rPr>
          <w:spacing w:val="-7"/>
          <w:sz w:val="24"/>
        </w:rPr>
        <w:t>部分學生生於成員較多的家庭，因此學生需要在家中擔當照顧者的角色</w:t>
      </w:r>
    </w:p>
    <w:p>
      <w:pPr>
        <w:pStyle w:val="ListParagraph"/>
        <w:numPr>
          <w:ilvl w:val="1"/>
          <w:numId w:val="2"/>
        </w:numPr>
        <w:tabs>
          <w:tab w:pos="1348" w:val="left" w:leader="none"/>
          <w:tab w:pos="1349" w:val="left" w:leader="none"/>
        </w:tabs>
        <w:spacing w:line="240" w:lineRule="auto" w:before="138" w:after="0"/>
        <w:ind w:left="1348" w:right="0" w:hanging="480"/>
        <w:jc w:val="left"/>
        <w:rPr>
          <w:b/>
          <w:i/>
          <w:sz w:val="25"/>
        </w:rPr>
      </w:pPr>
      <w:r>
        <w:rPr>
          <w:w w:val="95"/>
          <w:sz w:val="24"/>
        </w:rPr>
        <w:t>少數非華語學生</w:t>
      </w:r>
      <w:r>
        <w:rPr>
          <w:b/>
          <w:i/>
          <w:w w:val="95"/>
          <w:sz w:val="25"/>
        </w:rPr>
        <w:t>經濟條件較差</w:t>
      </w:r>
    </w:p>
    <w:p>
      <w:pPr>
        <w:pStyle w:val="ListParagraph"/>
        <w:numPr>
          <w:ilvl w:val="2"/>
          <w:numId w:val="2"/>
        </w:numPr>
        <w:tabs>
          <w:tab w:pos="1797" w:val="left" w:leader="none"/>
          <w:tab w:pos="1798" w:val="left" w:leader="none"/>
        </w:tabs>
        <w:spacing w:line="240" w:lineRule="auto" w:before="152" w:after="0"/>
        <w:ind w:left="1797" w:right="0" w:hanging="415"/>
        <w:jc w:val="left"/>
        <w:rPr>
          <w:sz w:val="24"/>
        </w:rPr>
      </w:pPr>
      <w:r>
        <w:rPr>
          <w:w w:val="95"/>
          <w:sz w:val="24"/>
        </w:rPr>
        <w:t>需要兼職幫補家計</w:t>
      </w:r>
    </w:p>
    <w:p>
      <w:pPr>
        <w:pStyle w:val="ListParagraph"/>
        <w:numPr>
          <w:ilvl w:val="1"/>
          <w:numId w:val="2"/>
        </w:numPr>
        <w:tabs>
          <w:tab w:pos="1348" w:val="left" w:leader="none"/>
          <w:tab w:pos="1349" w:val="left" w:leader="none"/>
        </w:tabs>
        <w:spacing w:line="350" w:lineRule="auto" w:before="138" w:after="0"/>
        <w:ind w:left="1348" w:right="113" w:hanging="480"/>
        <w:jc w:val="left"/>
        <w:rPr>
          <w:sz w:val="24"/>
        </w:rPr>
      </w:pPr>
      <w:r>
        <w:rPr>
          <w:b/>
          <w:i/>
          <w:spacing w:val="-3"/>
          <w:w w:val="95"/>
          <w:sz w:val="25"/>
        </w:rPr>
        <w:t>少數族裔及南亞裔人口的兒童比例有持續上升的趨勢</w:t>
      </w:r>
      <w:r>
        <w:rPr>
          <w:spacing w:val="-8"/>
          <w:w w:val="95"/>
          <w:sz w:val="24"/>
        </w:rPr>
        <w:t>，反而長者為數不多， </w:t>
      </w:r>
      <w:r>
        <w:rPr>
          <w:spacing w:val="-8"/>
          <w:sz w:val="24"/>
        </w:rPr>
        <w:t>若非華語學生能積極投入勞動市場，有助社會培育未來人才</w:t>
      </w:r>
    </w:p>
    <w:sectPr>
      <w:pgSz w:w="11910" w:h="16840"/>
      <w:pgMar w:top="1360" w:bottom="2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細明體">
    <w:altName w:val="新細明體"/>
    <w:charset w:val="88"/>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88" w:hanging="480"/>
      </w:pPr>
      <w:rPr>
        <w:rFonts w:hint="default" w:ascii="Wingdings" w:hAnsi="Wingdings" w:eastAsia="Wingdings" w:cs="Wingdings"/>
        <w:w w:val="100"/>
        <w:sz w:val="24"/>
        <w:szCs w:val="24"/>
      </w:rPr>
    </w:lvl>
    <w:lvl w:ilvl="1">
      <w:start w:val="0"/>
      <w:numFmt w:val="bullet"/>
      <w:lvlText w:val=""/>
      <w:lvlJc w:val="left"/>
      <w:pPr>
        <w:ind w:left="2068" w:hanging="480"/>
      </w:pPr>
      <w:rPr>
        <w:rFonts w:hint="default" w:ascii="Wingdings" w:hAnsi="Wingdings" w:eastAsia="Wingdings" w:cs="Wingdings"/>
        <w:w w:val="100"/>
        <w:sz w:val="24"/>
        <w:szCs w:val="24"/>
      </w:rPr>
    </w:lvl>
    <w:lvl w:ilvl="2">
      <w:start w:val="0"/>
      <w:numFmt w:val="bullet"/>
      <w:lvlText w:val="-"/>
      <w:lvlJc w:val="left"/>
      <w:pPr>
        <w:ind w:left="2517" w:hanging="416"/>
      </w:pPr>
      <w:rPr>
        <w:rFonts w:hint="default" w:ascii="Times New Roman" w:hAnsi="Times New Roman" w:eastAsia="Times New Roman" w:cs="Times New Roman"/>
        <w:spacing w:val="-22"/>
        <w:w w:val="99"/>
        <w:sz w:val="24"/>
        <w:szCs w:val="24"/>
      </w:rPr>
    </w:lvl>
    <w:lvl w:ilvl="3">
      <w:start w:val="0"/>
      <w:numFmt w:val="bullet"/>
      <w:lvlText w:val="•"/>
      <w:lvlJc w:val="left"/>
      <w:pPr>
        <w:ind w:left="3483" w:hanging="416"/>
      </w:pPr>
      <w:rPr>
        <w:rFonts w:hint="default"/>
      </w:rPr>
    </w:lvl>
    <w:lvl w:ilvl="4">
      <w:start w:val="0"/>
      <w:numFmt w:val="bullet"/>
      <w:lvlText w:val="•"/>
      <w:lvlJc w:val="left"/>
      <w:pPr>
        <w:ind w:left="4447" w:hanging="416"/>
      </w:pPr>
      <w:rPr>
        <w:rFonts w:hint="default"/>
      </w:rPr>
    </w:lvl>
    <w:lvl w:ilvl="5">
      <w:start w:val="0"/>
      <w:numFmt w:val="bullet"/>
      <w:lvlText w:val="•"/>
      <w:lvlJc w:val="left"/>
      <w:pPr>
        <w:ind w:left="5410" w:hanging="416"/>
      </w:pPr>
      <w:rPr>
        <w:rFonts w:hint="default"/>
      </w:rPr>
    </w:lvl>
    <w:lvl w:ilvl="6">
      <w:start w:val="0"/>
      <w:numFmt w:val="bullet"/>
      <w:lvlText w:val="•"/>
      <w:lvlJc w:val="left"/>
      <w:pPr>
        <w:ind w:left="6374" w:hanging="416"/>
      </w:pPr>
      <w:rPr>
        <w:rFonts w:hint="default"/>
      </w:rPr>
    </w:lvl>
    <w:lvl w:ilvl="7">
      <w:start w:val="0"/>
      <w:numFmt w:val="bullet"/>
      <w:lvlText w:val="•"/>
      <w:lvlJc w:val="left"/>
      <w:pPr>
        <w:ind w:left="7338" w:hanging="416"/>
      </w:pPr>
      <w:rPr>
        <w:rFonts w:hint="default"/>
      </w:rPr>
    </w:lvl>
    <w:lvl w:ilvl="8">
      <w:start w:val="0"/>
      <w:numFmt w:val="bullet"/>
      <w:lvlText w:val="•"/>
      <w:lvlJc w:val="left"/>
      <w:pPr>
        <w:ind w:left="8301" w:hanging="416"/>
      </w:pPr>
      <w:rPr>
        <w:rFonts w:hint="default"/>
      </w:rPr>
    </w:lvl>
  </w:abstractNum>
  <w:abstractNum w:abstractNumId="1">
    <w:multiLevelType w:val="hybridMultilevel"/>
    <w:lvl w:ilvl="0">
      <w:start w:val="0"/>
      <w:numFmt w:val="bullet"/>
      <w:lvlText w:val=""/>
      <w:lvlJc w:val="left"/>
      <w:pPr>
        <w:ind w:left="868" w:hanging="480"/>
      </w:pPr>
      <w:rPr>
        <w:rFonts w:hint="default" w:ascii="Wingdings" w:hAnsi="Wingdings" w:eastAsia="Wingdings" w:cs="Wingdings"/>
        <w:w w:val="100"/>
        <w:sz w:val="24"/>
        <w:szCs w:val="24"/>
      </w:rPr>
    </w:lvl>
    <w:lvl w:ilvl="1">
      <w:start w:val="0"/>
      <w:numFmt w:val="bullet"/>
      <w:lvlText w:val=""/>
      <w:lvlJc w:val="left"/>
      <w:pPr>
        <w:ind w:left="1348" w:hanging="480"/>
      </w:pPr>
      <w:rPr>
        <w:rFonts w:hint="default" w:ascii="Wingdings" w:hAnsi="Wingdings" w:eastAsia="Wingdings" w:cs="Wingdings"/>
        <w:w w:val="100"/>
        <w:sz w:val="24"/>
        <w:szCs w:val="24"/>
      </w:rPr>
    </w:lvl>
    <w:lvl w:ilvl="2">
      <w:start w:val="0"/>
      <w:numFmt w:val="bullet"/>
      <w:lvlText w:val="-"/>
      <w:lvlJc w:val="left"/>
      <w:pPr>
        <w:ind w:left="1797" w:hanging="416"/>
      </w:pPr>
      <w:rPr>
        <w:rFonts w:hint="default" w:ascii="Times New Roman" w:hAnsi="Times New Roman" w:eastAsia="Times New Roman" w:cs="Times New Roman"/>
        <w:w w:val="99"/>
        <w:sz w:val="24"/>
        <w:szCs w:val="24"/>
      </w:rPr>
    </w:lvl>
    <w:lvl w:ilvl="3">
      <w:start w:val="0"/>
      <w:numFmt w:val="bullet"/>
      <w:lvlText w:val="•"/>
      <w:lvlJc w:val="left"/>
      <w:pPr>
        <w:ind w:left="2733" w:hanging="416"/>
      </w:pPr>
      <w:rPr>
        <w:rFonts w:hint="default"/>
      </w:rPr>
    </w:lvl>
    <w:lvl w:ilvl="4">
      <w:start w:val="0"/>
      <w:numFmt w:val="bullet"/>
      <w:lvlText w:val="•"/>
      <w:lvlJc w:val="left"/>
      <w:pPr>
        <w:ind w:left="3667" w:hanging="416"/>
      </w:pPr>
      <w:rPr>
        <w:rFonts w:hint="default"/>
      </w:rPr>
    </w:lvl>
    <w:lvl w:ilvl="5">
      <w:start w:val="0"/>
      <w:numFmt w:val="bullet"/>
      <w:lvlText w:val="•"/>
      <w:lvlJc w:val="left"/>
      <w:pPr>
        <w:ind w:left="4600" w:hanging="416"/>
      </w:pPr>
      <w:rPr>
        <w:rFonts w:hint="default"/>
      </w:rPr>
    </w:lvl>
    <w:lvl w:ilvl="6">
      <w:start w:val="0"/>
      <w:numFmt w:val="bullet"/>
      <w:lvlText w:val="•"/>
      <w:lvlJc w:val="left"/>
      <w:pPr>
        <w:ind w:left="5534" w:hanging="416"/>
      </w:pPr>
      <w:rPr>
        <w:rFonts w:hint="default"/>
      </w:rPr>
    </w:lvl>
    <w:lvl w:ilvl="7">
      <w:start w:val="0"/>
      <w:numFmt w:val="bullet"/>
      <w:lvlText w:val="•"/>
      <w:lvlJc w:val="left"/>
      <w:pPr>
        <w:ind w:left="6468" w:hanging="416"/>
      </w:pPr>
      <w:rPr>
        <w:rFonts w:hint="default"/>
      </w:rPr>
    </w:lvl>
    <w:lvl w:ilvl="8">
      <w:start w:val="0"/>
      <w:numFmt w:val="bullet"/>
      <w:lvlText w:val="•"/>
      <w:lvlJc w:val="left"/>
      <w:pPr>
        <w:ind w:left="7401" w:hanging="416"/>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細明體" w:hAnsi="新細明體" w:eastAsia="新細明體" w:cs="新細明體"/>
    </w:rPr>
  </w:style>
  <w:style w:styleId="BodyText" w:type="paragraph">
    <w:name w:val="Body Text"/>
    <w:basedOn w:val="Normal"/>
    <w:uiPriority w:val="1"/>
    <w:qFormat/>
    <w:pPr>
      <w:spacing w:before="151"/>
      <w:ind w:left="1797" w:hanging="415"/>
    </w:pPr>
    <w:rPr>
      <w:rFonts w:ascii="新細明體" w:hAnsi="新細明體" w:eastAsia="新細明體" w:cs="新細明體"/>
      <w:sz w:val="24"/>
      <w:szCs w:val="24"/>
    </w:rPr>
  </w:style>
  <w:style w:styleId="Heading1" w:type="paragraph">
    <w:name w:val="Heading 1"/>
    <w:basedOn w:val="Normal"/>
    <w:uiPriority w:val="1"/>
    <w:qFormat/>
    <w:pPr>
      <w:spacing w:before="28"/>
      <w:ind w:left="868" w:hanging="480"/>
      <w:outlineLvl w:val="1"/>
    </w:pPr>
    <w:rPr>
      <w:rFonts w:ascii="新細明體" w:hAnsi="新細明體" w:eastAsia="新細明體" w:cs="新細明體"/>
      <w:b/>
      <w:bCs/>
      <w:sz w:val="24"/>
      <w:szCs w:val="24"/>
    </w:rPr>
  </w:style>
  <w:style w:styleId="ListParagraph" w:type="paragraph">
    <w:name w:val="List Paragraph"/>
    <w:basedOn w:val="Normal"/>
    <w:uiPriority w:val="1"/>
    <w:qFormat/>
    <w:pPr>
      <w:spacing w:before="151"/>
      <w:ind w:left="1797" w:hanging="480"/>
    </w:pPr>
    <w:rPr>
      <w:rFonts w:ascii="新細明體" w:hAnsi="新細明體" w:eastAsia="新細明體" w:cs="新細明體"/>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dcterms:created xsi:type="dcterms:W3CDTF">2018-07-11T15:22:22Z</dcterms:created>
  <dcterms:modified xsi:type="dcterms:W3CDTF">2018-07-11T15:22:22Z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2018-07-11T00:00:00Z</vt:filetime>
  </property>
</Properties>
</file>