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37" w:val="left" w:leader="none"/>
        </w:tabs>
        <w:spacing w:before="36"/>
        <w:ind w:left="112"/>
      </w:pPr>
      <w:bookmarkStart w:name="2 《非華語學生生涯規劃家長教育工作指引》" w:id="1"/>
      <w:bookmarkEnd w:id="1"/>
      <w:r>
        <w:rPr>
          <w:b w:val="0"/>
        </w:rPr>
      </w:r>
      <w:r>
        <w:rPr>
          <w:rFonts w:ascii="Times New Roman" w:eastAsia="Times New Roman"/>
        </w:rPr>
        <w:t>2</w:t>
        <w:tab/>
      </w:r>
      <w:r>
        <w:rPr>
          <w:w w:val="95"/>
        </w:rPr>
        <w:t>《非華語學生生涯規劃家長教育工作指引》</w:t>
      </w:r>
    </w:p>
    <w:p>
      <w:pPr>
        <w:spacing w:line="240" w:lineRule="auto" w:before="0"/>
        <w:rPr>
          <w:b/>
          <w:sz w:val="18"/>
        </w:rPr>
      </w:pPr>
    </w:p>
    <w:p>
      <w:pPr>
        <w:spacing w:line="348" w:lineRule="auto" w:before="0"/>
        <w:ind w:left="532" w:right="113" w:firstLine="657"/>
        <w:jc w:val="both"/>
        <w:rPr>
          <w:sz w:val="24"/>
        </w:rPr>
      </w:pPr>
      <w:r>
        <w:rPr>
          <w:spacing w:val="1"/>
          <w:sz w:val="24"/>
        </w:rPr>
        <w:t>根據青少年及社區服務參考計劃團隊於 </w:t>
      </w:r>
      <w:r>
        <w:rPr>
          <w:rFonts w:ascii="Calibri" w:eastAsia="Calibri"/>
          <w:sz w:val="24"/>
        </w:rPr>
        <w:t>2015</w:t>
      </w:r>
      <w:r>
        <w:rPr>
          <w:sz w:val="24"/>
        </w:rPr>
        <w:t>／</w:t>
      </w:r>
      <w:r>
        <w:rPr>
          <w:rFonts w:ascii="Calibri" w:eastAsia="Calibri"/>
          <w:sz w:val="24"/>
        </w:rPr>
        <w:t>16 </w:t>
      </w:r>
      <w:r>
        <w:rPr>
          <w:spacing w:val="14"/>
          <w:sz w:val="24"/>
        </w:rPr>
        <w:t>至 </w:t>
      </w:r>
      <w:r>
        <w:rPr>
          <w:rFonts w:ascii="Calibri" w:eastAsia="Calibri"/>
          <w:sz w:val="24"/>
        </w:rPr>
        <w:t>2017</w:t>
      </w:r>
      <w:r>
        <w:rPr>
          <w:sz w:val="24"/>
        </w:rPr>
        <w:t>／</w:t>
      </w:r>
      <w:r>
        <w:rPr>
          <w:rFonts w:ascii="Calibri" w:eastAsia="Calibri"/>
          <w:sz w:val="24"/>
        </w:rPr>
        <w:t>18 </w:t>
      </w:r>
      <w:r>
        <w:rPr>
          <w:spacing w:val="-2"/>
          <w:sz w:val="24"/>
        </w:rPr>
        <w:t>學年推行計劃的經</w:t>
      </w:r>
      <w:r>
        <w:rPr>
          <w:spacing w:val="-5"/>
          <w:sz w:val="24"/>
        </w:rPr>
        <w:t>驗，編撰《</w:t>
      </w:r>
      <w:r>
        <w:rPr>
          <w:b/>
          <w:sz w:val="24"/>
        </w:rPr>
        <w:t>非華語學生生涯規劃家長教育工作指引</w:t>
      </w:r>
      <w:r>
        <w:rPr>
          <w:spacing w:val="-12"/>
          <w:sz w:val="24"/>
        </w:rPr>
        <w:t>》，目的是為非華語學生的家長提供</w:t>
      </w:r>
      <w:r>
        <w:rPr>
          <w:b/>
          <w:sz w:val="24"/>
        </w:rPr>
        <w:t>家長簡介會、個別輔導服務</w:t>
      </w:r>
      <w:r>
        <w:rPr>
          <w:spacing w:val="-1"/>
          <w:sz w:val="24"/>
        </w:rPr>
        <w:t>等家長教育工作，讓負責推行的教師得以參考及應用。</w:t>
      </w:r>
    </w:p>
    <w:sectPr>
      <w:type w:val="continuous"/>
      <w:pgSz w:w="11910" w:h="16840"/>
      <w:pgMar w:top="12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2018-07-11T15:06:26Z</dcterms:created>
  <dcterms:modified xsi:type="dcterms:W3CDTF">2018-07-11T15:06:26Z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